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DC4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2D9F7DD5">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4BD80F9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7D5FC04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1B622C7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0EF8BB4C">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6620EF12">
      <w:pPr>
        <w:jc w:val="center"/>
        <w:rPr>
          <w:rFonts w:hint="eastAsia" w:asciiTheme="majorEastAsia" w:hAnsiTheme="majorEastAsia" w:eastAsiaTheme="majorEastAsia" w:cstheme="majorEastAsia"/>
          <w:b/>
          <w:bCs/>
          <w:sz w:val="36"/>
          <w:szCs w:val="36"/>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Theme="majorEastAsia" w:hAnsiTheme="majorEastAsia" w:eastAsiaTheme="majorEastAsia" w:cstheme="majorEastAsia"/>
          <w:b/>
          <w:bCs/>
          <w:sz w:val="36"/>
          <w:szCs w:val="36"/>
        </w:rPr>
        <w:t>360终端安全管理系统</w:t>
      </w:r>
    </w:p>
    <w:p w14:paraId="51C0FBE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Theme="majorEastAsia" w:hAnsiTheme="majorEastAsia" w:eastAsiaTheme="majorEastAsia" w:cstheme="majorEastAsia"/>
          <w:b/>
          <w:bCs/>
          <w:sz w:val="36"/>
          <w:szCs w:val="36"/>
        </w:rPr>
        <w:t>延长授权及系统全面升级</w:t>
      </w:r>
      <w:r>
        <w:rPr>
          <w:rFonts w:hint="eastAsia" w:ascii="宋体" w:hAnsi="宋体" w:eastAsia="宋体" w:cs="宋体"/>
          <w:b/>
          <w:sz w:val="36"/>
          <w:szCs w:val="36"/>
          <w:highlight w:val="none"/>
          <w:lang w:val="en-US" w:eastAsia="zh-CN"/>
        </w:rPr>
        <w:t xml:space="preserve">     </w:t>
      </w:r>
    </w:p>
    <w:p w14:paraId="33832133">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6339F152">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0BFFAB9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5A596688">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007AD92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w:t>
      </w:r>
      <w:r>
        <w:rPr>
          <w:rFonts w:hint="eastAsia" w:ascii="宋体" w:hAnsi="宋体" w:cs="宋体"/>
          <w:b/>
          <w:sz w:val="36"/>
          <w:szCs w:val="36"/>
          <w:highlight w:val="none"/>
        </w:rPr>
        <w:t>月</w:t>
      </w:r>
    </w:p>
    <w:p w14:paraId="7E347C58">
      <w:pPr>
        <w:pStyle w:val="13"/>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6C16AD37">
      <w:pPr>
        <w:pStyle w:val="3"/>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0306598B">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4AE9C1B3">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3259672C">
      <w:pPr>
        <w:pStyle w:val="4"/>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357A9DB9">
      <w:pPr>
        <w:ind w:left="320" w:hanging="320" w:hangingChars="1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项目名称：360终端安全管理系统延长授权及系统全面升级</w:t>
      </w:r>
      <w:r>
        <w:rPr>
          <w:rFonts w:hint="eastAsia" w:ascii="仿宋" w:hAnsi="仿宋" w:eastAsia="仿宋" w:cs="仿宋"/>
          <w:sz w:val="32"/>
          <w:szCs w:val="32"/>
          <w:highlight w:val="none"/>
          <w:lang w:val="en-US" w:eastAsia="zh-CN"/>
        </w:rPr>
        <w:t>项目</w:t>
      </w:r>
    </w:p>
    <w:p w14:paraId="19F8FD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项目内容：我公司目前使用的360终端安全管理系统授权将于2026年3月到期。为确保公司网络安全防护的连续性和有效性，避免授权过期后出现安全防护空窗期，进而对整体信息系统安全及业务运营造成潜在威胁，现申请将360终端安全管理系统的授权使用期限延长三年，即延长至2029年3月，并全面升级系统功能与客户服务，新增对信创产品的支持。</w:t>
      </w:r>
    </w:p>
    <w:p w14:paraId="60229C93">
      <w:pPr>
        <w:pStyle w:val="4"/>
        <w:keepNext w:val="0"/>
        <w:keepLines w:val="0"/>
        <w:pageBreakBefore w:val="0"/>
        <w:widowControl w:val="0"/>
        <w:kinsoku/>
        <w:wordWrap/>
        <w:overflowPunct/>
        <w:topLinePunct w:val="0"/>
        <w:bidi w:val="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三.项目要求：</w:t>
      </w:r>
    </w:p>
    <w:p w14:paraId="5F5BFB0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color w:val="000000"/>
          <w:kern w:val="2"/>
          <w:sz w:val="32"/>
          <w:szCs w:val="32"/>
          <w:highlight w:val="none"/>
          <w:lang w:val="en-US" w:eastAsia="zh-CN" w:bidi="ar-SA"/>
        </w:rPr>
        <w:t>总体要求</w:t>
      </w:r>
    </w:p>
    <w:p w14:paraId="40895C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项目为产品升级项目，为保证良好的使用体验，必须在原有的360终端安全管理系统基础上进行升级，不得使用其他品牌进行升级替换现有360终端安全管理系统；供货商必须提供三六零数字安全科技集团有限公司原厂授权书以及售后服务承诺函。</w:t>
      </w:r>
    </w:p>
    <w:p w14:paraId="6EB94A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现有管理控制中心2个：企业内网、企业外网各一个控制中心；提供系统控制中心维保3年。终端安全管理系统软件基础组件，实现系统的集中管理、管理员账号管理、分组管理、消息推送、策略配置、报表查看等功能。外网：Windows 400点；内网：Windows800点，服务器server 70点 。 终端具备杀毒+漏洞管理+资产管理+终端发现虚拟化管理等能力授权、并增加对主流信创产品PC、服务器的支持（区别与往年目前信创产品种类较多，必须支持主流信创品牌的适配和系统以及硬件升级后的适配对接）。</w:t>
      </w:r>
    </w:p>
    <w:p w14:paraId="5DBC56B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提供安全巡检服务：本次360终端安全管理升级不仅仅是产品版本以及特征库的提升，还要在中标后的三年内提供定期安全巡检服务，以应对安全事件突发、省级或垂直行业HW事件，提升内外网安全事件的应对能力。</w:t>
      </w:r>
    </w:p>
    <w:p w14:paraId="79C65C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4、需要提供每年至少1次的安全培训服务，用以提升全体员工的网络安全、数据安全、密码安全的防范意识。</w:t>
      </w:r>
    </w:p>
    <w:p w14:paraId="3DD3D5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（二）、技术条件：</w:t>
      </w:r>
    </w:p>
    <w:p w14:paraId="1B7494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1、支持管控中心多级部署和管理设置。支持展示终端部署、病毒查杀、漏洞修复的增量趋势和累计趋势。支持展示多级中心的发现病毒最多的终端Top10，感染终端最多的病毒Top10。</w:t>
      </w:r>
    </w:p>
    <w:p w14:paraId="6A6D59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2、客户端支持多类型操作系统同台管理，包括但不限于 Windows、Linux、银河麒麟等国产操作系统等。</w:t>
      </w:r>
    </w:p>
    <w:p w14:paraId="3C7A520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3、★支持对终端资产是否存在风险进行检测，包括是否存在指定高危端口、是否存在不合规账户、是否存在不合规启动项、计划任务，是否使用未激活系统等。风险支持实时展示以及分类统计。</w:t>
      </w:r>
    </w:p>
    <w:p w14:paraId="33C9E3C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4、★支持终端用户提交故障信息并可上传相关附件，管理员收到信息后可查阅并处理。支持终端用户提交意见反馈信息，管理员收到信息后可查阅并处理。</w:t>
      </w:r>
    </w:p>
    <w:p w14:paraId="6731CB8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5、★具备云端样本鉴定能力，云端具备300亿+样本数据，有效针对各种病毒文件进行查杀。</w:t>
      </w:r>
    </w:p>
    <w:p w14:paraId="19F209E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6、支持all in one部署和管理，一个管理平台&amp;一个客户端，实现防病毒、漏洞、终端桌管、软件管理、检测响应、数据安全、准入、零信任SDP接入的统一管理。</w:t>
      </w:r>
    </w:p>
    <w:p w14:paraId="53E8ABD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7、支持客户端系统插件修复功能，通过服务端对客户端下发系统扫描指令，可扫描客户端IE浏览器插件、远程桌面启用、桌面快捷方式等设置是否安全，管理员能够执行批量修复或设置信任。</w:t>
      </w:r>
    </w:p>
    <w:p w14:paraId="549069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8、★产品需具备勒索防护功能，对勒索病毒提供多重防御能力，包括禁用客户端远程服务、拦截RDP攻击、拦截数据库攻击、锁定RDP攻击IP地址、客户端账户弱密码检测、弱密码软件检测（如SQL Server和MySQL数据库软件）。可对终端远程端口进行统一关闭、或者将终端进行批量隔离或者解除隔离。</w:t>
      </w:r>
    </w:p>
    <w:p w14:paraId="227CF41E">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9、产品具备大数据协同安全技术国家工程研究中心出具检验</w:t>
      </w:r>
      <w:r>
        <w:rPr>
          <w:rFonts w:hint="eastAsia"/>
          <w:sz w:val="32"/>
          <w:szCs w:val="40"/>
          <w:lang w:val="en-US" w:eastAsia="zh-CN"/>
        </w:rPr>
        <w:t>检测</w:t>
      </w:r>
      <w:r>
        <w:rPr>
          <w:rFonts w:hint="eastAsia" w:ascii="仿宋" w:hAnsi="仿宋" w:eastAsia="仿宋" w:cs="仿宋"/>
          <w:sz w:val="32"/>
          <w:szCs w:val="32"/>
          <w:highlight w:val="none"/>
          <w:lang w:val="en-US" w:eastAsia="zh-CN"/>
        </w:rPr>
        <w:t>报告。</w:t>
      </w:r>
    </w:p>
    <w:p w14:paraId="29530D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10、产品具备国家信息安全测评信息技术产品安全测评证书，且为EAL3或以上等级。</w:t>
      </w:r>
    </w:p>
    <w:p w14:paraId="17118A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（三）、远程以及现场技术服务：</w:t>
      </w:r>
    </w:p>
    <w:p w14:paraId="506B2D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1.免费提供计算机病毒防治技术咨询与产品技术支持服务；服务方式可通过电话、电子邮件、传真、远程协助、现场服务等。</w:t>
      </w:r>
    </w:p>
    <w:p w14:paraId="109AE42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2.为用户提供公开的400或800免费电话，获得7 * 24小时的技术服务，电话号码可在投标产品生产商的官方网站上查询。</w:t>
      </w:r>
    </w:p>
    <w:p w14:paraId="60826E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3.提供本地产品售后电话支持，及授权的认证工程师上门服务；在接到用户求助后，1小时内做出响应，4小时内到达现场，24小时内处理和解决问题。</w:t>
      </w:r>
    </w:p>
    <w:p w14:paraId="309040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4.对提交的可疑文件（包括新病毒），厂商必须在接到可疑文件的24小时内给予答复。</w:t>
      </w:r>
    </w:p>
    <w:p w14:paraId="44195B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（四）、其他要求：</w:t>
      </w:r>
    </w:p>
    <w:p w14:paraId="3F1F81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1.严禁贴牌和窜货，一经发现假冒伪劣产品，由此造成的一切后果由投标商承担。</w:t>
      </w:r>
    </w:p>
    <w:p w14:paraId="702AC54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2.所有产品按照制造商规定的产品包装和随机标准附件为准。供方提供产品的包装必须为原厂原包装，包装必须符合运输相关要求，确保货物运输过程安全。</w:t>
      </w:r>
    </w:p>
    <w:p w14:paraId="743D07C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3.供方同时应随产品提供原版的用户手册、使用指南、安装说明、维护事项及产品合格证、检验报告、质量证明等资料。</w:t>
      </w:r>
    </w:p>
    <w:p w14:paraId="310C92E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4.产品到达后，项目实际执行过程中，若出现产品数量增减情况，必须严格按照相关规定履行变更手续，不得私自变更，并承诺增减产品数量其价款按照采购合同价执行。</w:t>
      </w:r>
    </w:p>
    <w:p w14:paraId="71D7BE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四.工作地点：山西太原中车太原机车车辆有限公司</w:t>
      </w:r>
    </w:p>
    <w:p w14:paraId="493619C6">
      <w:pPr>
        <w:pStyle w:val="13"/>
        <w:rPr>
          <w:rFonts w:hint="eastAsia"/>
          <w:lang w:val="en-US" w:eastAsia="zh-CN"/>
        </w:rPr>
      </w:pPr>
    </w:p>
    <w:p w14:paraId="6C1730B7">
      <w:pPr>
        <w:pStyle w:val="4"/>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5DBBEF6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9"/>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2F83D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245ED5B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66A0D58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026B4ED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38EC1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35FC60C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317C2D6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2B28E225">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 xml:space="preserve">中车太原机车车辆有限公司科技信息化部      </w:t>
            </w:r>
          </w:p>
          <w:p w14:paraId="52868872">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7DFD7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585741A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44F51C9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4840BDC7">
            <w:pPr>
              <w:ind w:left="320" w:hanging="240" w:hanging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项目内容：360终端安全管理系统延长授权及系统全面升级</w:t>
            </w:r>
            <w:r>
              <w:rPr>
                <w:rFonts w:hint="eastAsia" w:ascii="宋体" w:hAnsi="宋体" w:eastAsia="宋体" w:cs="宋体"/>
                <w:sz w:val="24"/>
                <w:szCs w:val="24"/>
                <w:highlight w:val="none"/>
                <w:lang w:val="en-US" w:eastAsia="zh-CN"/>
              </w:rPr>
              <w:t>项目</w:t>
            </w:r>
          </w:p>
          <w:p w14:paraId="4BDB71B8">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61F0C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119B9B6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25FAE62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0EB4C191">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40CB4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146FB20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62F1B34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60588A62">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1898D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36769CAB">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301DF9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4FEE0845">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5A1DF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20" w:hRule="atLeast"/>
        </w:trPr>
        <w:tc>
          <w:tcPr>
            <w:tcW w:w="675" w:type="dxa"/>
            <w:noWrap w:val="0"/>
            <w:vAlign w:val="center"/>
          </w:tcPr>
          <w:p w14:paraId="7757E6B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59" w:type="dxa"/>
            <w:noWrap w:val="0"/>
            <w:vAlign w:val="center"/>
          </w:tcPr>
          <w:p w14:paraId="1176E75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付款条件</w:t>
            </w:r>
          </w:p>
        </w:tc>
        <w:tc>
          <w:tcPr>
            <w:tcW w:w="6630" w:type="dxa"/>
            <w:noWrap w:val="0"/>
            <w:vAlign w:val="center"/>
          </w:tcPr>
          <w:p w14:paraId="195562D2">
            <w:pPr>
              <w:pStyle w:val="13"/>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按公司规定签订合同后，供方向需方开具合同全额增值税专用发票，需方在收到发票后一次性转账付款给供方。</w:t>
            </w:r>
          </w:p>
        </w:tc>
      </w:tr>
    </w:tbl>
    <w:p w14:paraId="26A9954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bookmarkStart w:id="0" w:name="_Toc1767"/>
      <w:bookmarkStart w:id="1" w:name="_Toc55"/>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总则</w:t>
      </w:r>
      <w:bookmarkEnd w:id="0"/>
      <w:bookmarkEnd w:id="1"/>
    </w:p>
    <w:p w14:paraId="11CDE6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1.1本项目</w:t>
      </w:r>
      <w:r>
        <w:rPr>
          <w:rFonts w:hint="eastAsia" w:ascii="仿宋" w:hAnsi="仿宋" w:eastAsia="仿宋" w:cs="仿宋"/>
          <w:sz w:val="32"/>
          <w:szCs w:val="32"/>
          <w:highlight w:val="none"/>
          <w:lang w:val="en-US" w:eastAsia="zh-CN"/>
        </w:rPr>
        <w:t>要求</w:t>
      </w:r>
      <w:r>
        <w:rPr>
          <w:rFonts w:hint="eastAsia" w:ascii="仿宋" w:hAnsi="仿宋" w:eastAsia="仿宋" w:cs="仿宋"/>
          <w:b w:val="0"/>
          <w:bCs w:val="0"/>
          <w:sz w:val="32"/>
          <w:szCs w:val="32"/>
          <w:highlight w:val="none"/>
        </w:rPr>
        <w:t>详见</w:t>
      </w:r>
      <w:r>
        <w:rPr>
          <w:rFonts w:hint="eastAsia" w:ascii="仿宋" w:hAnsi="仿宋" w:eastAsia="仿宋" w:cs="仿宋"/>
          <w:b w:val="0"/>
          <w:bCs w:val="0"/>
          <w:sz w:val="32"/>
          <w:szCs w:val="32"/>
          <w:highlight w:val="none"/>
          <w:lang w:val="en-US" w:eastAsia="zh-CN"/>
        </w:rPr>
        <w:t>招标文件；</w:t>
      </w:r>
    </w:p>
    <w:p w14:paraId="5E6FDD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1.2无论结果如何，</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应自行承担本次采购活动</w:t>
      </w:r>
      <w:r>
        <w:rPr>
          <w:rFonts w:hint="eastAsia" w:ascii="仿宋" w:hAnsi="仿宋" w:eastAsia="仿宋" w:cs="仿宋"/>
          <w:sz w:val="32"/>
          <w:szCs w:val="32"/>
          <w:highlight w:val="none"/>
          <w:lang w:val="en-US" w:eastAsia="zh-CN"/>
        </w:rPr>
        <w:t>所</w:t>
      </w:r>
    </w:p>
    <w:p w14:paraId="13F77FF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2"/>
          <w:szCs w:val="32"/>
          <w:highlight w:val="none"/>
          <w:lang w:val="en-US" w:eastAsia="zh-CN"/>
        </w:rPr>
        <w:t>产生的全部费用；</w:t>
      </w:r>
    </w:p>
    <w:p w14:paraId="300AE8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3投标</w:t>
      </w:r>
      <w:r>
        <w:rPr>
          <w:rFonts w:hint="eastAsia" w:ascii="仿宋" w:hAnsi="仿宋" w:eastAsia="仿宋" w:cs="仿宋"/>
          <w:sz w:val="32"/>
          <w:szCs w:val="32"/>
          <w:highlight w:val="none"/>
        </w:rPr>
        <w:t>文件使用的语言文字为中文。专用术语使用外文的，应附有中文注释</w:t>
      </w:r>
      <w:r>
        <w:rPr>
          <w:rFonts w:hint="eastAsia" w:ascii="仿宋" w:hAnsi="仿宋" w:eastAsia="仿宋" w:cs="仿宋"/>
          <w:sz w:val="32"/>
          <w:szCs w:val="32"/>
          <w:highlight w:val="none"/>
          <w:lang w:eastAsia="zh-CN"/>
        </w:rPr>
        <w:t>；</w:t>
      </w:r>
    </w:p>
    <w:p w14:paraId="1A2123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中的所有内容进行认真研究和全面理解，并对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所有实质性要求和条件</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作出满足性或更有利于</w:t>
      </w:r>
      <w:r>
        <w:rPr>
          <w:rFonts w:hint="eastAsia" w:ascii="仿宋" w:hAnsi="仿宋" w:eastAsia="仿宋" w:cs="仿宋"/>
          <w:sz w:val="32"/>
          <w:szCs w:val="32"/>
          <w:highlight w:val="none"/>
          <w:lang w:eastAsia="zh-CN"/>
        </w:rPr>
        <w:t>招标人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响应</w:t>
      </w:r>
      <w:r>
        <w:rPr>
          <w:rFonts w:hint="eastAsia" w:ascii="仿宋" w:hAnsi="仿宋" w:eastAsia="仿宋" w:cs="仿宋"/>
          <w:sz w:val="32"/>
          <w:szCs w:val="32"/>
          <w:highlight w:val="none"/>
          <w:lang w:eastAsia="zh-CN"/>
        </w:rPr>
        <w:t>；</w:t>
      </w:r>
    </w:p>
    <w:p w14:paraId="45FF76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如无特别说明，本次采购活动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响应有效期自</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响应文件的递交截止之日起</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天。</w:t>
      </w:r>
    </w:p>
    <w:p w14:paraId="5E6982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过程中，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应保证</w:t>
      </w:r>
      <w:r>
        <w:rPr>
          <w:rFonts w:hint="eastAsia" w:ascii="仿宋" w:hAnsi="仿宋" w:eastAsia="仿宋" w:cs="仿宋"/>
          <w:color w:val="auto"/>
          <w:sz w:val="32"/>
          <w:szCs w:val="32"/>
          <w:highlight w:val="none"/>
          <w:lang w:eastAsia="zh-CN"/>
        </w:rPr>
        <w:t>招标人</w:t>
      </w:r>
      <w:r>
        <w:rPr>
          <w:rFonts w:hint="eastAsia" w:ascii="仿宋" w:hAnsi="仿宋" w:eastAsia="仿宋" w:cs="仿宋"/>
          <w:color w:val="auto"/>
          <w:sz w:val="32"/>
          <w:szCs w:val="32"/>
          <w:highlight w:val="none"/>
        </w:rPr>
        <w:t>不会因</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侵犯任何第三方</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其它权利而受到来自第三方的侵权指控。如有发生，</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将承担全部责任以及由此所发生的全部费用。</w:t>
      </w:r>
    </w:p>
    <w:p w14:paraId="60A155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评标委员会根据</w:t>
      </w:r>
      <w:r>
        <w:rPr>
          <w:rFonts w:hint="eastAsia" w:ascii="仿宋" w:hAnsi="仿宋" w:eastAsia="仿宋" w:cs="仿宋"/>
          <w:color w:val="auto"/>
          <w:sz w:val="32"/>
          <w:szCs w:val="32"/>
          <w:highlight w:val="none"/>
          <w:lang w:eastAsia="zh-CN"/>
        </w:rPr>
        <w:t>竞标文件</w:t>
      </w:r>
      <w:r>
        <w:rPr>
          <w:rFonts w:hint="eastAsia" w:ascii="仿宋" w:hAnsi="仿宋" w:eastAsia="仿宋" w:cs="仿宋"/>
          <w:color w:val="auto"/>
          <w:sz w:val="32"/>
          <w:szCs w:val="32"/>
          <w:highlight w:val="none"/>
        </w:rPr>
        <w:t>及相关信息，发现</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存在围标、串标、弄虚作假等行为，将取消</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的本项目参与评标资格。同时</w:t>
      </w:r>
      <w:r>
        <w:rPr>
          <w:rFonts w:hint="eastAsia" w:ascii="仿宋" w:hAnsi="仿宋" w:eastAsia="仿宋" w:cs="仿宋"/>
          <w:color w:val="auto"/>
          <w:sz w:val="32"/>
          <w:szCs w:val="32"/>
          <w:highlight w:val="none"/>
          <w:lang w:val="en-US" w:eastAsia="zh-CN"/>
        </w:rPr>
        <w:t>不予退还投标保证金</w:t>
      </w:r>
      <w:r>
        <w:rPr>
          <w:rFonts w:hint="eastAsia" w:ascii="仿宋" w:hAnsi="仿宋" w:eastAsia="仿宋" w:cs="仿宋"/>
          <w:color w:val="auto"/>
          <w:sz w:val="32"/>
          <w:szCs w:val="32"/>
          <w:highlight w:val="none"/>
        </w:rPr>
        <w:t>。</w:t>
      </w:r>
    </w:p>
    <w:p w14:paraId="50DDCC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1.8投标报价不是中标的唯一条件。</w:t>
      </w:r>
    </w:p>
    <w:p w14:paraId="0A30F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2" w:name="_Toc30027"/>
      <w:bookmarkStart w:id="3" w:name="_Toc23345"/>
      <w:r>
        <w:rPr>
          <w:rFonts w:hint="eastAsia" w:ascii="仿宋" w:hAnsi="仿宋" w:eastAsia="仿宋" w:cs="仿宋"/>
          <w:b/>
          <w:bCs/>
          <w:sz w:val="32"/>
          <w:szCs w:val="32"/>
          <w:highlight w:val="none"/>
          <w:lang w:val="en-US" w:eastAsia="zh-CN"/>
        </w:rPr>
        <w:t>2</w:t>
      </w:r>
      <w:bookmarkEnd w:id="2"/>
      <w:bookmarkEnd w:id="3"/>
      <w:r>
        <w:rPr>
          <w:rFonts w:hint="eastAsia" w:ascii="仿宋" w:hAnsi="仿宋" w:eastAsia="仿宋" w:cs="仿宋"/>
          <w:b/>
          <w:bCs/>
          <w:sz w:val="32"/>
          <w:szCs w:val="32"/>
          <w:highlight w:val="none"/>
          <w:lang w:val="en-US" w:eastAsia="zh-CN"/>
        </w:rPr>
        <w:t>.投标人资格条件</w:t>
      </w:r>
    </w:p>
    <w:p w14:paraId="147D12E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2.1</w:t>
      </w:r>
      <w:r>
        <w:rPr>
          <w:rFonts w:hint="eastAsia" w:ascii="仿宋" w:hAnsi="仿宋" w:eastAsia="仿宋" w:cs="仿宋"/>
          <w:kern w:val="2"/>
          <w:sz w:val="32"/>
          <w:szCs w:val="32"/>
          <w:lang w:val="en-US" w:eastAsia="zh-CN" w:bidi="ar-SA"/>
        </w:rPr>
        <w:t>具有独立法人资格、独立承担民事责任和履行合同能力，拥有有效的营业执照，须具备完成和保障项目如期交付的能力；</w:t>
      </w:r>
    </w:p>
    <w:p w14:paraId="612715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2.2投标人提供包含但不限于以下内容：</w:t>
      </w:r>
      <w:r>
        <w:rPr>
          <w:rFonts w:hint="eastAsia" w:ascii="仿宋" w:hAnsi="仿宋" w:eastAsia="仿宋" w:cs="仿宋"/>
          <w:color w:val="auto"/>
          <w:sz w:val="32"/>
          <w:szCs w:val="32"/>
          <w:lang w:val="en-US" w:eastAsia="zh-CN"/>
        </w:rPr>
        <w:t>投标人基本情况（公司规模、人员结构和经营状况等）、</w:t>
      </w:r>
      <w:r>
        <w:rPr>
          <w:rFonts w:hint="eastAsia" w:ascii="仿宋" w:hAnsi="仿宋" w:eastAsia="仿宋" w:cs="仿宋"/>
          <w:sz w:val="32"/>
          <w:szCs w:val="32"/>
          <w:lang w:val="en-US" w:eastAsia="zh-CN"/>
        </w:rPr>
        <w:t>法人营业执照、</w:t>
      </w:r>
      <w:r>
        <w:rPr>
          <w:rFonts w:hint="eastAsia" w:ascii="仿宋" w:hAnsi="仿宋" w:eastAsia="仿宋" w:cs="仿宋"/>
          <w:strike w:val="0"/>
          <w:dstrike w:val="0"/>
          <w:color w:val="auto"/>
          <w:sz w:val="32"/>
          <w:szCs w:val="32"/>
          <w:lang w:val="en-US" w:eastAsia="zh-CN"/>
        </w:rPr>
        <w:t>银行资信证明、</w:t>
      </w:r>
      <w:r>
        <w:rPr>
          <w:rFonts w:hint="eastAsia" w:ascii="仿宋" w:hAnsi="仿宋" w:eastAsia="仿宋" w:cs="仿宋"/>
          <w:strike w:val="0"/>
          <w:color w:val="auto"/>
          <w:sz w:val="32"/>
          <w:szCs w:val="32"/>
          <w:lang w:val="en-US" w:eastAsia="zh-CN"/>
        </w:rPr>
        <w:t>上年度财务审计报告、</w:t>
      </w:r>
      <w:r>
        <w:rPr>
          <w:rFonts w:hint="eastAsia" w:ascii="仿宋" w:hAnsi="仿宋" w:eastAsia="仿宋" w:cs="仿宋"/>
          <w:strike w:val="0"/>
          <w:dstrike w:val="0"/>
          <w:color w:val="auto"/>
          <w:sz w:val="32"/>
          <w:szCs w:val="32"/>
          <w:lang w:val="en-US" w:eastAsia="zh-CN"/>
        </w:rPr>
        <w:t>近三个月完税证明</w:t>
      </w:r>
      <w:r>
        <w:rPr>
          <w:rFonts w:hint="eastAsia" w:ascii="仿宋" w:hAnsi="仿宋" w:eastAsia="仿宋" w:cs="仿宋"/>
          <w:strike w:val="0"/>
          <w:color w:val="auto"/>
          <w:sz w:val="32"/>
          <w:szCs w:val="32"/>
          <w:lang w:val="en-US" w:eastAsia="zh-CN"/>
        </w:rPr>
        <w:t>、</w:t>
      </w:r>
      <w:r>
        <w:rPr>
          <w:rFonts w:hint="eastAsia" w:ascii="仿宋" w:hAnsi="仿宋" w:eastAsia="仿宋" w:cs="仿宋"/>
          <w:color w:val="auto"/>
          <w:sz w:val="32"/>
          <w:szCs w:val="32"/>
          <w:lang w:val="en-US" w:eastAsia="zh-CN"/>
        </w:rPr>
        <w:t>近三年承担过的</w:t>
      </w:r>
      <w:r>
        <w:rPr>
          <w:rFonts w:hint="eastAsia" w:ascii="仿宋" w:hAnsi="仿宋" w:eastAsia="仿宋" w:cs="仿宋"/>
          <w:sz w:val="32"/>
          <w:szCs w:val="32"/>
          <w:lang w:val="en-US" w:eastAsia="zh-CN"/>
        </w:rPr>
        <w:t>同类项目业绩证明</w:t>
      </w:r>
      <w:r>
        <w:rPr>
          <w:rFonts w:hint="eastAsia" w:ascii="仿宋" w:hAnsi="仿宋" w:eastAsia="仿宋" w:cs="仿宋"/>
          <w:color w:val="auto"/>
          <w:sz w:val="32"/>
          <w:szCs w:val="32"/>
          <w:lang w:val="en-US" w:eastAsia="zh-CN"/>
        </w:rPr>
        <w:t>以及行业内相关荣誉或</w:t>
      </w:r>
      <w:r>
        <w:rPr>
          <w:rFonts w:hint="eastAsia" w:ascii="仿宋" w:hAnsi="仿宋" w:eastAsia="仿宋" w:cs="仿宋"/>
          <w:sz w:val="32"/>
          <w:szCs w:val="32"/>
          <w:lang w:val="en-US" w:eastAsia="zh-CN"/>
        </w:rPr>
        <w:t>证书等；</w:t>
      </w:r>
    </w:p>
    <w:p w14:paraId="30AFF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2.3投标人须提供近三年内未在全国企业信用信息公示系统、“信用中国”等网站被列入严重违法失信企业名单或失信被执行人名单的证明材料（提供网站查询报告或网页截图）；</w:t>
      </w:r>
    </w:p>
    <w:p w14:paraId="1A8B273E">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lang w:val="en-US" w:eastAsia="zh-CN" w:bidi="ar-SA"/>
        </w:rPr>
      </w:pPr>
      <w:r>
        <w:rPr>
          <w:rFonts w:hint="eastAsia" w:ascii="仿宋" w:hAnsi="仿宋" w:eastAsia="仿宋" w:cs="仿宋"/>
          <w:bCs w:val="0"/>
          <w:spacing w:val="0"/>
          <w:kern w:val="2"/>
          <w:sz w:val="32"/>
          <w:szCs w:val="32"/>
          <w:lang w:val="en-US" w:eastAsia="zh-CN" w:bidi="ar-SA"/>
        </w:rPr>
        <w:t>2.4本项目不接受联合体投标，不允许转包、分包第三方。</w:t>
      </w:r>
    </w:p>
    <w:p w14:paraId="2AE1CD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sz w:val="32"/>
          <w:szCs w:val="32"/>
          <w:highlight w:val="none"/>
          <w:lang w:eastAsia="zh-CN"/>
        </w:rPr>
      </w:pPr>
      <w:bookmarkStart w:id="4" w:name="_Toc7706"/>
      <w:bookmarkStart w:id="5" w:name="_Toc805"/>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招标文件及报价</w:t>
      </w:r>
      <w:bookmarkEnd w:id="4"/>
      <w:bookmarkEnd w:id="5"/>
    </w:p>
    <w:p w14:paraId="1A8B9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在</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截止时间前，</w:t>
      </w:r>
      <w:r>
        <w:rPr>
          <w:rFonts w:hint="eastAsia" w:ascii="仿宋" w:hAnsi="仿宋" w:eastAsia="仿宋" w:cs="仿宋"/>
          <w:b w:val="0"/>
          <w:bCs w:val="0"/>
          <w:sz w:val="32"/>
          <w:szCs w:val="32"/>
          <w:highlight w:val="none"/>
          <w:lang w:eastAsia="zh-CN"/>
        </w:rPr>
        <w:t>招标人</w:t>
      </w:r>
      <w:r>
        <w:rPr>
          <w:rFonts w:hint="eastAsia" w:ascii="仿宋" w:hAnsi="仿宋" w:eastAsia="仿宋" w:cs="仿宋"/>
          <w:b w:val="0"/>
          <w:bCs w:val="0"/>
          <w:sz w:val="32"/>
          <w:szCs w:val="32"/>
          <w:highlight w:val="none"/>
        </w:rPr>
        <w:t>可根据需要对</w:t>
      </w:r>
      <w:r>
        <w:rPr>
          <w:rFonts w:hint="eastAsia" w:ascii="仿宋" w:hAnsi="仿宋" w:eastAsia="仿宋" w:cs="仿宋"/>
          <w:b w:val="0"/>
          <w:bCs w:val="0"/>
          <w:sz w:val="32"/>
          <w:szCs w:val="32"/>
          <w:highlight w:val="none"/>
          <w:lang w:eastAsia="zh-CN"/>
        </w:rPr>
        <w:t>招标文件</w:t>
      </w:r>
      <w:r>
        <w:rPr>
          <w:rFonts w:hint="eastAsia" w:ascii="仿宋" w:hAnsi="仿宋" w:eastAsia="仿宋" w:cs="仿宋"/>
          <w:b w:val="0"/>
          <w:bCs w:val="0"/>
          <w:sz w:val="32"/>
          <w:szCs w:val="32"/>
          <w:highlight w:val="none"/>
        </w:rPr>
        <w:t>内容和时间进行变更，其中可能影响</w:t>
      </w:r>
      <w:r>
        <w:rPr>
          <w:rFonts w:hint="eastAsia" w:ascii="仿宋" w:hAnsi="仿宋" w:eastAsia="仿宋" w:cs="仿宋"/>
          <w:b w:val="0"/>
          <w:bCs w:val="0"/>
          <w:sz w:val="32"/>
          <w:szCs w:val="32"/>
          <w:highlight w:val="none"/>
          <w:lang w:eastAsia="zh-CN"/>
        </w:rPr>
        <w:t>投标人报价的</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截止时间顺延。</w:t>
      </w:r>
    </w:p>
    <w:p w14:paraId="5661A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报价应包括</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为完成本项目全部内容的费用和应缴纳的税金。</w:t>
      </w:r>
    </w:p>
    <w:p w14:paraId="1128414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3.3</w:t>
      </w:r>
      <w:r>
        <w:rPr>
          <w:rFonts w:hint="eastAsia" w:ascii="仿宋" w:hAnsi="仿宋" w:eastAsia="仿宋" w:cs="仿宋"/>
          <w:b w:val="0"/>
          <w:bCs w:val="0"/>
          <w:sz w:val="32"/>
          <w:szCs w:val="32"/>
          <w:highlight w:val="none"/>
          <w:lang w:eastAsia="zh-CN"/>
        </w:rPr>
        <w:t>投标人</w:t>
      </w:r>
      <w:r>
        <w:rPr>
          <w:rFonts w:hint="eastAsia" w:ascii="仿宋" w:hAnsi="仿宋" w:eastAsia="仿宋" w:cs="仿宋"/>
          <w:b w:val="0"/>
          <w:bCs w:val="0"/>
          <w:sz w:val="32"/>
          <w:szCs w:val="32"/>
          <w:highlight w:val="none"/>
        </w:rPr>
        <w:t>可在</w:t>
      </w:r>
      <w:r>
        <w:rPr>
          <w:rFonts w:hint="eastAsia" w:ascii="仿宋" w:hAnsi="仿宋" w:eastAsia="仿宋" w:cs="仿宋"/>
          <w:b w:val="0"/>
          <w:bCs w:val="0"/>
          <w:sz w:val="32"/>
          <w:szCs w:val="32"/>
          <w:highlight w:val="none"/>
          <w:lang w:eastAsia="zh-CN"/>
        </w:rPr>
        <w:t>招标报价</w:t>
      </w:r>
      <w:r>
        <w:rPr>
          <w:rFonts w:hint="eastAsia" w:ascii="仿宋" w:hAnsi="仿宋" w:eastAsia="仿宋" w:cs="仿宋"/>
          <w:b w:val="0"/>
          <w:bCs w:val="0"/>
          <w:sz w:val="32"/>
          <w:szCs w:val="32"/>
          <w:highlight w:val="none"/>
        </w:rPr>
        <w:t>截止时间前对其所提交的</w:t>
      </w:r>
      <w:r>
        <w:rPr>
          <w:rFonts w:hint="eastAsia" w:ascii="仿宋" w:hAnsi="仿宋" w:eastAsia="仿宋" w:cs="仿宋"/>
          <w:b w:val="0"/>
          <w:bCs w:val="0"/>
          <w:sz w:val="32"/>
          <w:szCs w:val="32"/>
          <w:highlight w:val="none"/>
          <w:lang w:eastAsia="zh-CN"/>
        </w:rPr>
        <w:t>投标</w:t>
      </w:r>
      <w:r>
        <w:rPr>
          <w:rFonts w:hint="eastAsia" w:ascii="仿宋" w:hAnsi="仿宋" w:eastAsia="仿宋" w:cs="仿宋"/>
          <w:b w:val="0"/>
          <w:bCs w:val="0"/>
          <w:sz w:val="32"/>
          <w:szCs w:val="32"/>
          <w:highlight w:val="none"/>
        </w:rPr>
        <w:t>文件</w:t>
      </w:r>
      <w:r>
        <w:rPr>
          <w:rFonts w:hint="eastAsia" w:ascii="仿宋" w:hAnsi="仿宋" w:eastAsia="仿宋" w:cs="仿宋"/>
          <w:b w:val="0"/>
          <w:bCs w:val="0"/>
          <w:sz w:val="32"/>
          <w:szCs w:val="32"/>
          <w:highlight w:val="none"/>
          <w:lang w:eastAsia="zh-CN"/>
        </w:rPr>
        <w:t>及价格</w:t>
      </w:r>
      <w:r>
        <w:rPr>
          <w:rFonts w:hint="eastAsia" w:ascii="仿宋" w:hAnsi="仿宋" w:eastAsia="仿宋" w:cs="仿宋"/>
          <w:b w:val="0"/>
          <w:bCs w:val="0"/>
          <w:sz w:val="32"/>
          <w:szCs w:val="32"/>
          <w:highlight w:val="none"/>
        </w:rPr>
        <w:t>进行补充、修改或撤回。</w:t>
      </w:r>
    </w:p>
    <w:p w14:paraId="63BE9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highlight w:val="none"/>
          <w:lang w:val="en-US" w:eastAsia="zh-CN"/>
        </w:rPr>
      </w:pPr>
      <w:bookmarkStart w:id="6" w:name="_Toc32298"/>
      <w:r>
        <w:rPr>
          <w:rFonts w:hint="eastAsia" w:ascii="仿宋" w:hAnsi="仿宋" w:eastAsia="仿宋" w:cs="仿宋"/>
          <w:b/>
          <w:bCs/>
          <w:sz w:val="32"/>
          <w:szCs w:val="32"/>
          <w:highlight w:val="none"/>
          <w:lang w:val="en-US" w:eastAsia="zh-CN"/>
        </w:rPr>
        <w:t>4.投标文件的签署、份数</w:t>
      </w:r>
      <w:bookmarkEnd w:id="6"/>
    </w:p>
    <w:p w14:paraId="3A9742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文件需打印</w:t>
      </w:r>
      <w:r>
        <w:rPr>
          <w:rFonts w:hint="eastAsia" w:ascii="仿宋" w:hAnsi="仿宋" w:eastAsia="仿宋" w:cs="仿宋"/>
          <w:color w:val="000000"/>
          <w:sz w:val="32"/>
          <w:szCs w:val="32"/>
          <w:lang w:eastAsia="zh-CN"/>
        </w:rPr>
        <w:t>；</w:t>
      </w:r>
    </w:p>
    <w:p w14:paraId="3E444C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.2所有</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文件均须由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盖章，并由负责人签署。</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应写全称</w:t>
      </w:r>
      <w:r>
        <w:rPr>
          <w:rFonts w:hint="eastAsia" w:ascii="仿宋" w:hAnsi="仿宋" w:eastAsia="仿宋" w:cs="仿宋"/>
          <w:color w:val="000000"/>
          <w:sz w:val="32"/>
          <w:szCs w:val="32"/>
          <w:lang w:eastAsia="zh-CN"/>
        </w:rPr>
        <w:t>；</w:t>
      </w:r>
    </w:p>
    <w:p w14:paraId="3CB99B1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b/>
          <w:color w:val="000000"/>
          <w:sz w:val="32"/>
          <w:szCs w:val="32"/>
          <w:highlight w:val="none"/>
          <w:u w:val="single"/>
        </w:rPr>
        <w:t>正本壹份</w:t>
      </w:r>
      <w:r>
        <w:rPr>
          <w:rFonts w:hint="eastAsia" w:ascii="仿宋" w:hAnsi="仿宋" w:eastAsia="仿宋" w:cs="仿宋"/>
          <w:color w:val="000000"/>
          <w:sz w:val="32"/>
          <w:szCs w:val="32"/>
          <w:highlight w:val="none"/>
        </w:rPr>
        <w:t>，</w:t>
      </w:r>
      <w:r>
        <w:rPr>
          <w:rFonts w:hint="eastAsia" w:ascii="仿宋" w:hAnsi="仿宋" w:eastAsia="仿宋" w:cs="仿宋"/>
          <w:b/>
          <w:color w:val="000000"/>
          <w:sz w:val="32"/>
          <w:szCs w:val="32"/>
          <w:highlight w:val="none"/>
          <w:u w:val="single"/>
        </w:rPr>
        <w:t>副本</w:t>
      </w:r>
      <w:r>
        <w:rPr>
          <w:rFonts w:hint="eastAsia" w:ascii="仿宋" w:hAnsi="仿宋" w:eastAsia="仿宋" w:cs="仿宋"/>
          <w:b/>
          <w:color w:val="000000"/>
          <w:sz w:val="32"/>
          <w:szCs w:val="32"/>
          <w:highlight w:val="none"/>
          <w:u w:val="single"/>
          <w:lang w:val="en-US" w:eastAsia="zh-CN"/>
        </w:rPr>
        <w:t>贰</w:t>
      </w:r>
      <w:r>
        <w:rPr>
          <w:rFonts w:hint="eastAsia" w:ascii="仿宋" w:hAnsi="仿宋" w:eastAsia="仿宋" w:cs="仿宋"/>
          <w:b/>
          <w:color w:val="000000"/>
          <w:sz w:val="32"/>
          <w:szCs w:val="32"/>
          <w:highlight w:val="none"/>
          <w:u w:val="single"/>
        </w:rPr>
        <w:t>份</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应将</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装袋</w:t>
      </w:r>
      <w:r>
        <w:rPr>
          <w:rFonts w:hint="eastAsia" w:ascii="仿宋" w:hAnsi="仿宋" w:eastAsia="仿宋" w:cs="仿宋"/>
          <w:color w:val="000000"/>
          <w:sz w:val="32"/>
          <w:szCs w:val="32"/>
        </w:rPr>
        <w:t>密封，并在封皮上标明采购项目名称、</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名称</w:t>
      </w:r>
      <w:r>
        <w:rPr>
          <w:rFonts w:hint="eastAsia" w:ascii="仿宋" w:hAnsi="仿宋" w:eastAsia="仿宋" w:cs="仿宋"/>
          <w:color w:val="000000"/>
          <w:sz w:val="32"/>
          <w:szCs w:val="32"/>
          <w:lang w:eastAsia="zh-CN"/>
        </w:rPr>
        <w:t>；</w:t>
      </w:r>
    </w:p>
    <w:p w14:paraId="3B09A6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.4如果</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未加写标记，招标</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文件的误投和提前启封不负责任</w:t>
      </w:r>
      <w:r>
        <w:rPr>
          <w:rFonts w:hint="eastAsia" w:ascii="仿宋" w:hAnsi="仿宋" w:eastAsia="仿宋" w:cs="仿宋"/>
          <w:color w:val="000000"/>
          <w:sz w:val="32"/>
          <w:szCs w:val="32"/>
          <w:lang w:eastAsia="zh-CN"/>
        </w:rPr>
        <w:t>；</w:t>
      </w:r>
    </w:p>
    <w:p w14:paraId="652AEC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投标文件不得涂改和增删，如有错漏必须修改，修改处须由同一签署人签字及盖章</w:t>
      </w:r>
      <w:r>
        <w:rPr>
          <w:rFonts w:hint="eastAsia" w:ascii="仿宋" w:hAnsi="仿宋" w:eastAsia="仿宋" w:cs="仿宋"/>
          <w:color w:val="000000"/>
          <w:sz w:val="32"/>
          <w:szCs w:val="32"/>
          <w:lang w:eastAsia="zh-CN"/>
        </w:rPr>
        <w:t>；</w:t>
      </w:r>
    </w:p>
    <w:p w14:paraId="27A7D3DA">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由于字迹模糊或表达不清引起的后果由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负责。</w:t>
      </w:r>
    </w:p>
    <w:p w14:paraId="535D4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highlight w:val="none"/>
          <w:lang w:val="en-US" w:eastAsia="zh-CN"/>
        </w:rPr>
      </w:pPr>
      <w:bookmarkStart w:id="7" w:name="_Toc27437"/>
      <w:r>
        <w:rPr>
          <w:rFonts w:hint="eastAsia" w:ascii="仿宋" w:hAnsi="仿宋" w:eastAsia="仿宋" w:cs="仿宋"/>
          <w:b/>
          <w:bCs/>
          <w:sz w:val="32"/>
          <w:szCs w:val="32"/>
          <w:highlight w:val="none"/>
          <w:lang w:val="en-US" w:eastAsia="zh-CN"/>
        </w:rPr>
        <w:t>5.无效投标文件</w:t>
      </w:r>
      <w:bookmarkEnd w:id="7"/>
    </w:p>
    <w:p w14:paraId="3AC036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发生下列情况之一的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文件被视为无效：</w:t>
      </w:r>
    </w:p>
    <w:p w14:paraId="4C0804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.1在</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文件递交截止时间以后邮寄到达或送达的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响应文件；</w:t>
      </w:r>
    </w:p>
    <w:p w14:paraId="2E89B8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.2由于包装不妥造成严重破损或失散的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p>
    <w:p w14:paraId="60AFDC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.3以电讯形式的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w:t>
      </w:r>
    </w:p>
    <w:p w14:paraId="652D1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8" w:name="_Toc26240"/>
      <w:r>
        <w:rPr>
          <w:rFonts w:hint="eastAsia" w:ascii="仿宋" w:hAnsi="仿宋" w:eastAsia="仿宋" w:cs="仿宋"/>
          <w:b/>
          <w:bCs/>
          <w:sz w:val="32"/>
          <w:szCs w:val="32"/>
          <w:highlight w:val="none"/>
          <w:lang w:val="en-US" w:eastAsia="zh-CN"/>
        </w:rPr>
        <w:t>6.投标文件的递交、密封和标记</w:t>
      </w:r>
      <w:bookmarkEnd w:id="8"/>
    </w:p>
    <w:p w14:paraId="215A04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.1内外层信封均应：清楚标明项目名称、</w:t>
      </w:r>
      <w:r>
        <w:rPr>
          <w:rFonts w:hint="eastAsia" w:ascii="仿宋" w:hAnsi="仿宋" w:eastAsia="仿宋" w:cs="仿宋"/>
          <w:sz w:val="32"/>
          <w:szCs w:val="32"/>
          <w:lang w:eastAsia="zh-CN"/>
        </w:rPr>
        <w:t>投标方</w:t>
      </w:r>
      <w:r>
        <w:rPr>
          <w:rFonts w:hint="eastAsia" w:ascii="仿宋" w:hAnsi="仿宋" w:eastAsia="仿宋" w:cs="仿宋"/>
          <w:sz w:val="32"/>
          <w:szCs w:val="32"/>
        </w:rPr>
        <w:t>名称、地址、负责人和“在</w:t>
      </w:r>
      <w:r>
        <w:rPr>
          <w:rFonts w:hint="eastAsia" w:ascii="仿宋" w:hAnsi="仿宋" w:eastAsia="仿宋" w:cs="仿宋"/>
          <w:sz w:val="32"/>
          <w:szCs w:val="32"/>
          <w:lang w:eastAsia="zh-CN"/>
        </w:rPr>
        <w:t>开标</w:t>
      </w:r>
      <w:r>
        <w:rPr>
          <w:rFonts w:hint="eastAsia" w:ascii="仿宋" w:hAnsi="仿宋" w:eastAsia="仿宋" w:cs="仿宋"/>
          <w:sz w:val="32"/>
          <w:szCs w:val="32"/>
        </w:rPr>
        <w:t>之前不得启封”的字样</w:t>
      </w:r>
      <w:r>
        <w:rPr>
          <w:rFonts w:hint="eastAsia" w:ascii="仿宋" w:hAnsi="仿宋" w:eastAsia="仿宋" w:cs="仿宋"/>
          <w:sz w:val="32"/>
          <w:szCs w:val="32"/>
          <w:lang w:eastAsia="zh-CN"/>
        </w:rPr>
        <w:t>；</w:t>
      </w:r>
    </w:p>
    <w:p w14:paraId="3E5738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.2投标文件必须以胶装形式进行装订</w:t>
      </w:r>
      <w:r>
        <w:rPr>
          <w:rFonts w:hint="eastAsia" w:ascii="仿宋" w:hAnsi="仿宋" w:eastAsia="仿宋" w:cs="仿宋"/>
          <w:sz w:val="32"/>
          <w:szCs w:val="32"/>
          <w:lang w:eastAsia="zh-CN"/>
        </w:rPr>
        <w:t>；</w:t>
      </w:r>
    </w:p>
    <w:p w14:paraId="4EABA73A">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.3如果外层信封未按本须知第</w:t>
      </w:r>
      <w:r>
        <w:rPr>
          <w:rFonts w:hint="eastAsia" w:ascii="仿宋" w:hAnsi="仿宋" w:eastAsia="仿宋" w:cs="仿宋"/>
          <w:sz w:val="32"/>
          <w:szCs w:val="32"/>
          <w:lang w:val="en-US" w:eastAsia="zh-CN"/>
        </w:rPr>
        <w:t>6</w:t>
      </w:r>
      <w:r>
        <w:rPr>
          <w:rFonts w:hint="eastAsia" w:ascii="仿宋" w:hAnsi="仿宋" w:eastAsia="仿宋" w:cs="仿宋"/>
          <w:sz w:val="32"/>
          <w:szCs w:val="32"/>
        </w:rPr>
        <w:t>.1和</w:t>
      </w:r>
      <w:r>
        <w:rPr>
          <w:rFonts w:hint="eastAsia" w:ascii="仿宋" w:hAnsi="仿宋" w:eastAsia="仿宋" w:cs="仿宋"/>
          <w:sz w:val="32"/>
          <w:szCs w:val="32"/>
          <w:lang w:val="en-US" w:eastAsia="zh-CN"/>
        </w:rPr>
        <w:t>6</w:t>
      </w:r>
      <w:r>
        <w:rPr>
          <w:rFonts w:hint="eastAsia" w:ascii="仿宋" w:hAnsi="仿宋" w:eastAsia="仿宋" w:cs="仿宋"/>
          <w:sz w:val="32"/>
          <w:szCs w:val="32"/>
        </w:rPr>
        <w:t>.2条要求加写标记和密封，</w:t>
      </w:r>
      <w:r>
        <w:rPr>
          <w:rFonts w:hint="eastAsia" w:ascii="仿宋" w:hAnsi="仿宋" w:eastAsia="仿宋" w:cs="仿宋"/>
          <w:sz w:val="32"/>
          <w:szCs w:val="32"/>
          <w:lang w:eastAsia="zh-CN"/>
        </w:rPr>
        <w:t>招标方</w:t>
      </w:r>
      <w:r>
        <w:rPr>
          <w:rFonts w:hint="eastAsia" w:ascii="仿宋" w:hAnsi="仿宋" w:eastAsia="仿宋" w:cs="仿宋"/>
          <w:sz w:val="32"/>
          <w:szCs w:val="32"/>
        </w:rPr>
        <w:t>对误送或过早启封概不负责。</w:t>
      </w:r>
    </w:p>
    <w:p w14:paraId="36776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9" w:name="_Toc12197"/>
      <w:r>
        <w:rPr>
          <w:rFonts w:hint="eastAsia" w:ascii="仿宋" w:hAnsi="仿宋" w:eastAsia="仿宋" w:cs="仿宋"/>
          <w:b/>
          <w:bCs/>
          <w:sz w:val="32"/>
          <w:szCs w:val="32"/>
          <w:highlight w:val="none"/>
          <w:lang w:val="en-US" w:eastAsia="zh-CN"/>
        </w:rPr>
        <w:t>7.递交投标文件截止期</w:t>
      </w:r>
      <w:bookmarkEnd w:id="9"/>
    </w:p>
    <w:p w14:paraId="6B5A513F">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7.1投标文件递交的截止时间请查看招标公告。</w:t>
      </w:r>
    </w:p>
    <w:p w14:paraId="1B55FD4D">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bookmarkStart w:id="10" w:name="OLE_LINK1"/>
      <w:r>
        <w:rPr>
          <w:rFonts w:hint="eastAsia" w:ascii="仿宋" w:hAnsi="仿宋" w:eastAsia="仿宋" w:cs="仿宋"/>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4E4320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投标方</w:t>
      </w:r>
      <w:r>
        <w:rPr>
          <w:rFonts w:hint="eastAsia" w:ascii="仿宋" w:hAnsi="仿宋" w:eastAsia="仿宋" w:cs="仿宋"/>
          <w:sz w:val="32"/>
          <w:szCs w:val="32"/>
        </w:rPr>
        <w:t>应在不迟于规定的截止日期和时间将</w:t>
      </w:r>
      <w:r>
        <w:rPr>
          <w:rFonts w:hint="eastAsia" w:ascii="仿宋" w:hAnsi="仿宋" w:eastAsia="仿宋" w:cs="仿宋"/>
          <w:sz w:val="32"/>
          <w:szCs w:val="32"/>
          <w:lang w:eastAsia="zh-CN"/>
        </w:rPr>
        <w:t>投标</w:t>
      </w:r>
      <w:r>
        <w:rPr>
          <w:rFonts w:hint="eastAsia" w:ascii="仿宋" w:hAnsi="仿宋" w:eastAsia="仿宋" w:cs="仿宋"/>
          <w:sz w:val="32"/>
          <w:szCs w:val="32"/>
        </w:rPr>
        <w:t>文件递交至</w:t>
      </w:r>
      <w:r>
        <w:rPr>
          <w:rFonts w:hint="eastAsia" w:ascii="仿宋" w:hAnsi="仿宋" w:eastAsia="仿宋" w:cs="仿宋"/>
          <w:sz w:val="32"/>
          <w:szCs w:val="32"/>
          <w:lang w:eastAsia="zh-CN"/>
        </w:rPr>
        <w:t>招标方；</w:t>
      </w:r>
    </w:p>
    <w:p w14:paraId="307233E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投标方</w:t>
      </w:r>
      <w:r>
        <w:rPr>
          <w:rFonts w:hint="eastAsia" w:ascii="仿宋" w:hAnsi="仿宋" w:eastAsia="仿宋" w:cs="仿宋"/>
          <w:sz w:val="32"/>
          <w:szCs w:val="32"/>
        </w:rPr>
        <w:t>没有按规定时间递交</w:t>
      </w:r>
      <w:r>
        <w:rPr>
          <w:rFonts w:hint="eastAsia" w:ascii="仿宋" w:hAnsi="仿宋" w:eastAsia="仿宋" w:cs="仿宋"/>
          <w:sz w:val="32"/>
          <w:szCs w:val="32"/>
          <w:lang w:eastAsia="zh-CN"/>
        </w:rPr>
        <w:t>投标</w:t>
      </w:r>
      <w:r>
        <w:rPr>
          <w:rFonts w:hint="eastAsia" w:ascii="仿宋" w:hAnsi="仿宋" w:eastAsia="仿宋" w:cs="仿宋"/>
          <w:sz w:val="32"/>
          <w:szCs w:val="32"/>
        </w:rPr>
        <w:t>文件的, 其文件将被拒绝</w:t>
      </w:r>
      <w:r>
        <w:rPr>
          <w:rFonts w:hint="eastAsia" w:ascii="仿宋" w:hAnsi="仿宋" w:eastAsia="仿宋" w:cs="仿宋"/>
          <w:sz w:val="32"/>
          <w:szCs w:val="32"/>
          <w:lang w:eastAsia="zh-CN"/>
        </w:rPr>
        <w:t>；</w:t>
      </w:r>
    </w:p>
    <w:p w14:paraId="069C01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招标方</w:t>
      </w:r>
      <w:r>
        <w:rPr>
          <w:rFonts w:hint="eastAsia" w:ascii="仿宋" w:hAnsi="仿宋" w:eastAsia="仿宋" w:cs="仿宋"/>
          <w:sz w:val="32"/>
          <w:szCs w:val="32"/>
        </w:rPr>
        <w:t>可以按本须知规定，通过修改</w:t>
      </w:r>
      <w:r>
        <w:rPr>
          <w:rFonts w:hint="eastAsia" w:ascii="仿宋" w:hAnsi="仿宋" w:eastAsia="仿宋" w:cs="仿宋"/>
          <w:sz w:val="32"/>
          <w:szCs w:val="32"/>
          <w:lang w:eastAsia="zh-CN"/>
        </w:rPr>
        <w:t>招标</w:t>
      </w:r>
      <w:r>
        <w:rPr>
          <w:rFonts w:hint="eastAsia" w:ascii="仿宋" w:hAnsi="仿宋" w:eastAsia="仿宋" w:cs="仿宋"/>
          <w:sz w:val="32"/>
          <w:szCs w:val="32"/>
        </w:rPr>
        <w:t>文件适当延长递交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文件截止期。在此情况下，</w:t>
      </w:r>
      <w:r>
        <w:rPr>
          <w:rFonts w:hint="eastAsia" w:ascii="仿宋" w:hAnsi="仿宋" w:eastAsia="仿宋" w:cs="仿宋"/>
          <w:sz w:val="32"/>
          <w:szCs w:val="32"/>
          <w:lang w:eastAsia="zh-CN"/>
        </w:rPr>
        <w:t>招标方、投标方</w:t>
      </w:r>
      <w:r>
        <w:rPr>
          <w:rFonts w:hint="eastAsia" w:ascii="仿宋" w:hAnsi="仿宋" w:eastAsia="仿宋" w:cs="仿宋"/>
          <w:sz w:val="32"/>
          <w:szCs w:val="32"/>
        </w:rPr>
        <w:t>受递交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文件截止期制约的所有权利和义务均应延长至新的截止日期。</w:t>
      </w:r>
    </w:p>
    <w:p w14:paraId="58153CA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lang w:val="en-US" w:eastAsia="zh-CN"/>
        </w:rPr>
      </w:pPr>
      <w:bookmarkStart w:id="11" w:name="_Toc23624"/>
      <w:r>
        <w:rPr>
          <w:rFonts w:hint="eastAsia" w:ascii="仿宋" w:hAnsi="仿宋" w:eastAsia="仿宋" w:cs="仿宋"/>
          <w:b/>
          <w:bCs/>
          <w:sz w:val="32"/>
          <w:szCs w:val="32"/>
          <w:lang w:val="en-US" w:eastAsia="zh-CN"/>
        </w:rPr>
        <w:t>8.合同授予</w:t>
      </w:r>
      <w:bookmarkEnd w:id="11"/>
    </w:p>
    <w:p w14:paraId="5BF42B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8.1投标结束后，招标方将在数日内通知中标单位或向中标单位发送《中标通知书》；</w:t>
      </w:r>
    </w:p>
    <w:p w14:paraId="3B5B00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8.2中标单位收到中标通知后，洽谈并签订正式合同。</w:t>
      </w:r>
    </w:p>
    <w:p w14:paraId="7BC1062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bCs/>
          <w:sz w:val="32"/>
          <w:szCs w:val="32"/>
          <w:lang w:val="en-US" w:eastAsia="zh-CN"/>
        </w:rPr>
      </w:pPr>
      <w:bookmarkStart w:id="12" w:name="_Toc926"/>
      <w:r>
        <w:rPr>
          <w:rFonts w:hint="eastAsia" w:ascii="仿宋" w:hAnsi="仿宋" w:eastAsia="仿宋" w:cs="仿宋"/>
          <w:b/>
          <w:bCs/>
          <w:sz w:val="32"/>
          <w:szCs w:val="32"/>
          <w:lang w:val="en-US" w:eastAsia="zh-CN"/>
        </w:rPr>
        <w:t>9.废标条款：符合下列条件之一的，按废标处理</w:t>
      </w:r>
      <w:bookmarkEnd w:id="12"/>
    </w:p>
    <w:p w14:paraId="159631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9.1与招标文件有重大偏离的投标文件；</w:t>
      </w:r>
    </w:p>
    <w:p w14:paraId="319E2F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9.2超出营业执照规定的经营范围的；</w:t>
      </w:r>
    </w:p>
    <w:p w14:paraId="6B5C37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9.3资质过期的。</w:t>
      </w:r>
    </w:p>
    <w:p w14:paraId="268C3D7B">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03AB492A">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7E31B738">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1841746F">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2D2D133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39A319B1">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F722EC8">
      <w:pPr>
        <w:pStyle w:val="13"/>
        <w:rPr>
          <w:rFonts w:hint="eastAsia"/>
          <w:lang w:val="en-US" w:eastAsia="zh-CN"/>
        </w:rPr>
      </w:pPr>
    </w:p>
    <w:p w14:paraId="6716B3B9">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6D523691">
      <w:pPr>
        <w:spacing w:before="0" w:after="0" w:line="240" w:lineRule="auto"/>
        <w:jc w:val="center"/>
        <w:outlineLvl w:val="0"/>
        <w:rPr>
          <w:rFonts w:hint="eastAsia" w:ascii="仿宋" w:hAnsi="仿宋" w:eastAsia="仿宋" w:cs="仿宋"/>
          <w:b/>
          <w:sz w:val="44"/>
          <w:szCs w:val="44"/>
        </w:rPr>
      </w:pPr>
      <w:r>
        <w:rPr>
          <w:rFonts w:hint="eastAsia" w:ascii="仿宋" w:hAnsi="仿宋" w:eastAsia="仿宋" w:cs="仿宋"/>
          <w:b/>
          <w:sz w:val="44"/>
          <w:szCs w:val="44"/>
        </w:rPr>
        <w:t>360终端安全管理系统</w:t>
      </w:r>
    </w:p>
    <w:p w14:paraId="045C5ACA">
      <w:pPr>
        <w:spacing w:before="0" w:after="0" w:line="240" w:lineRule="auto"/>
        <w:jc w:val="center"/>
        <w:outlineLvl w:val="0"/>
        <w:rPr>
          <w:rFonts w:ascii="仿宋" w:hAnsi="仿宋" w:eastAsia="仿宋" w:cs="仿宋"/>
          <w:b/>
          <w:sz w:val="44"/>
          <w:szCs w:val="44"/>
        </w:rPr>
      </w:pPr>
      <w:r>
        <w:rPr>
          <w:rFonts w:hint="eastAsia" w:ascii="仿宋" w:hAnsi="仿宋" w:eastAsia="仿宋" w:cs="仿宋"/>
          <w:b/>
          <w:sz w:val="44"/>
          <w:szCs w:val="44"/>
        </w:rPr>
        <w:t>延长授权及系统全面升级</w:t>
      </w:r>
      <w:r>
        <w:rPr>
          <w:rFonts w:hint="eastAsia" w:ascii="仿宋" w:hAnsi="仿宋" w:eastAsia="仿宋" w:cs="仿宋"/>
          <w:b/>
          <w:sz w:val="44"/>
          <w:szCs w:val="44"/>
          <w:lang w:val="en-US" w:eastAsia="zh-CN"/>
        </w:rPr>
        <w:t>项目</w:t>
      </w:r>
      <w:r>
        <w:rPr>
          <w:rFonts w:hint="eastAsia" w:ascii="仿宋" w:hAnsi="仿宋" w:eastAsia="仿宋" w:cs="仿宋"/>
          <w:b/>
          <w:sz w:val="44"/>
          <w:szCs w:val="44"/>
        </w:rPr>
        <w:t>合同</w:t>
      </w:r>
    </w:p>
    <w:p w14:paraId="6094B440">
      <w:pPr>
        <w:jc w:val="center"/>
        <w:outlineLvl w:val="9"/>
        <w:rPr>
          <w:rFonts w:hint="eastAsia" w:ascii="仿宋" w:hAnsi="仿宋" w:eastAsia="仿宋" w:cs="仿宋"/>
          <w:b/>
          <w:color w:val="auto"/>
          <w:sz w:val="44"/>
          <w:szCs w:val="44"/>
          <w:highlight w:val="none"/>
        </w:rPr>
      </w:pPr>
    </w:p>
    <w:p w14:paraId="1D09368E">
      <w:pPr>
        <w:jc w:val="center"/>
        <w:outlineLvl w:val="9"/>
        <w:rPr>
          <w:color w:val="auto"/>
          <w:sz w:val="44"/>
          <w:highlight w:val="none"/>
        </w:rPr>
      </w:pPr>
    </w:p>
    <w:p w14:paraId="4E1BA100">
      <w:pPr>
        <w:jc w:val="center"/>
        <w:outlineLvl w:val="9"/>
        <w:rPr>
          <w:color w:val="auto"/>
          <w:sz w:val="44"/>
          <w:highlight w:val="none"/>
        </w:rPr>
      </w:pPr>
    </w:p>
    <w:p w14:paraId="72367E0D">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199114D6">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6376F714">
      <w:pPr>
        <w:jc w:val="center"/>
        <w:outlineLvl w:val="9"/>
        <w:rPr>
          <w:rFonts w:hint="eastAsia" w:ascii="仿宋" w:hAnsi="仿宋" w:eastAsia="仿宋" w:cs="仿宋"/>
          <w:b/>
          <w:color w:val="auto"/>
          <w:sz w:val="44"/>
          <w:szCs w:val="44"/>
          <w:highlight w:val="none"/>
        </w:rPr>
      </w:pPr>
    </w:p>
    <w:p w14:paraId="27D33EB6">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4A4FAC69">
      <w:pPr>
        <w:jc w:val="center"/>
        <w:outlineLvl w:val="9"/>
        <w:rPr>
          <w:rFonts w:hint="eastAsia" w:ascii="仿宋" w:hAnsi="仿宋" w:eastAsia="仿宋" w:cs="仿宋"/>
          <w:b/>
          <w:color w:val="auto"/>
          <w:sz w:val="44"/>
          <w:szCs w:val="44"/>
          <w:highlight w:val="none"/>
        </w:rPr>
      </w:pPr>
    </w:p>
    <w:p w14:paraId="4CABB24D">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556F4122">
      <w:pPr>
        <w:jc w:val="center"/>
        <w:outlineLvl w:val="9"/>
        <w:rPr>
          <w:rFonts w:hint="eastAsia" w:ascii="仿宋_GB2312" w:hAnsi="Arial" w:eastAsia="仿宋_GB2312" w:cs="Arial"/>
          <w:b/>
          <w:sz w:val="44"/>
          <w:szCs w:val="44"/>
          <w:highlight w:val="none"/>
        </w:rPr>
      </w:pPr>
    </w:p>
    <w:p w14:paraId="62FEAC53">
      <w:pPr>
        <w:jc w:val="center"/>
        <w:outlineLvl w:val="9"/>
        <w:rPr>
          <w:rFonts w:hint="eastAsia" w:ascii="仿宋_GB2312" w:hAnsi="Arial" w:eastAsia="仿宋_GB2312" w:cs="Arial"/>
          <w:b/>
          <w:sz w:val="44"/>
          <w:szCs w:val="44"/>
          <w:highlight w:val="none"/>
        </w:rPr>
      </w:pPr>
    </w:p>
    <w:p w14:paraId="703F7556">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14:paraId="1423D2C3">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4FCEE1E6">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2026年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4230AE53">
      <w:pPr>
        <w:pStyle w:val="14"/>
        <w:widowControl/>
        <w:tabs>
          <w:tab w:val="clear" w:pos="0"/>
        </w:tabs>
        <w:ind w:right="1109"/>
        <w:jc w:val="left"/>
        <w:outlineLvl w:val="9"/>
        <w:rPr>
          <w:rFonts w:hint="eastAsia" w:ascii="宋体" w:hAnsi="宋体"/>
          <w:b/>
          <w:bCs/>
          <w:i w:val="0"/>
          <w:iCs w:val="0"/>
          <w:color w:val="auto"/>
          <w:sz w:val="24"/>
          <w:szCs w:val="24"/>
          <w:lang w:eastAsia="zh-CN"/>
        </w:rPr>
      </w:pPr>
    </w:p>
    <w:p w14:paraId="7A2378A7">
      <w:pPr>
        <w:pStyle w:val="4"/>
        <w:rPr>
          <w:rFonts w:hint="eastAsia" w:ascii="宋体" w:hAnsi="宋体"/>
          <w:b/>
          <w:sz w:val="36"/>
          <w:u w:val="none"/>
          <w:lang w:eastAsia="zh-CN"/>
        </w:rPr>
      </w:pPr>
    </w:p>
    <w:p w14:paraId="1F484B47">
      <w:pPr>
        <w:pStyle w:val="4"/>
        <w:rPr>
          <w:rFonts w:hint="eastAsia" w:ascii="宋体" w:hAnsi="宋体"/>
          <w:b/>
          <w:sz w:val="36"/>
          <w:u w:val="none"/>
          <w:lang w:eastAsia="zh-CN"/>
        </w:rPr>
      </w:pPr>
    </w:p>
    <w:p w14:paraId="50A8C113">
      <w:pPr>
        <w:pStyle w:val="4"/>
        <w:rPr>
          <w:rFonts w:hint="eastAsia" w:ascii="宋体" w:hAnsi="宋体"/>
          <w:b/>
          <w:sz w:val="36"/>
          <w:u w:val="none"/>
          <w:lang w:eastAsia="zh-CN"/>
        </w:rPr>
      </w:pPr>
    </w:p>
    <w:p w14:paraId="7C97788A">
      <w:pPr>
        <w:pStyle w:val="4"/>
        <w:rPr>
          <w:rFonts w:hint="eastAsia" w:ascii="宋体" w:hAnsi="宋体"/>
          <w:b/>
          <w:sz w:val="36"/>
          <w:u w:val="none"/>
          <w:lang w:eastAsia="zh-CN"/>
        </w:rPr>
      </w:pPr>
    </w:p>
    <w:p w14:paraId="4A1D7EB9">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Style w:val="12"/>
          <w:rFonts w:hint="eastAsia" w:ascii="宋体" w:hAnsi="宋体" w:eastAsia="宋体" w:cs="宋体"/>
          <w:b/>
          <w:bCs w:val="0"/>
          <w:i w:val="0"/>
          <w:iCs w:val="0"/>
          <w:caps w:val="0"/>
          <w:color w:val="auto"/>
          <w:spacing w:val="0"/>
          <w:sz w:val="24"/>
          <w:szCs w:val="24"/>
          <w:shd w:val="clear" w:color="auto" w:fill="FFFFFF"/>
        </w:rPr>
      </w:pPr>
      <w:r>
        <w:rPr>
          <w:rFonts w:hint="eastAsia" w:ascii="宋体" w:hAnsi="宋体" w:eastAsia="宋体" w:cs="宋体"/>
          <w:b/>
          <w:bCs w:val="0"/>
          <w:sz w:val="24"/>
          <w:szCs w:val="24"/>
          <w:lang w:eastAsia="zh-CN"/>
        </w:rPr>
        <w:t>甲方</w:t>
      </w:r>
      <w:r>
        <w:rPr>
          <w:rFonts w:hint="eastAsia" w:ascii="宋体" w:hAnsi="宋体" w:eastAsia="宋体" w:cs="宋体"/>
          <w:b/>
          <w:bCs w:val="0"/>
          <w:sz w:val="24"/>
          <w:szCs w:val="24"/>
          <w:lang w:val="de-DE"/>
        </w:rPr>
        <w:t>：</w:t>
      </w:r>
      <w:r>
        <w:rPr>
          <w:rStyle w:val="12"/>
          <w:rFonts w:hint="eastAsia" w:ascii="宋体" w:hAnsi="宋体" w:eastAsia="宋体" w:cs="宋体"/>
          <w:b/>
          <w:bCs w:val="0"/>
          <w:i w:val="0"/>
          <w:iCs w:val="0"/>
          <w:caps w:val="0"/>
          <w:color w:val="auto"/>
          <w:spacing w:val="0"/>
          <w:sz w:val="24"/>
          <w:szCs w:val="24"/>
          <w:shd w:val="clear" w:color="auto" w:fill="FFFFFF"/>
        </w:rPr>
        <w:t>中车太原机车车辆有限公司</w:t>
      </w:r>
    </w:p>
    <w:p w14:paraId="5DCBFFAD">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bCs w:val="0"/>
          <w:sz w:val="24"/>
          <w:szCs w:val="24"/>
          <w:highlight w:val="none"/>
          <w:lang w:val="de-DE"/>
        </w:rPr>
      </w:pPr>
      <w:r>
        <w:rPr>
          <w:rFonts w:hint="eastAsia" w:ascii="宋体" w:hAnsi="宋体" w:eastAsia="宋体" w:cs="宋体"/>
          <w:b/>
          <w:bCs w:val="0"/>
          <w:sz w:val="24"/>
          <w:szCs w:val="24"/>
          <w:highlight w:val="none"/>
          <w:lang w:eastAsia="zh-CN"/>
        </w:rPr>
        <w:t>乙</w:t>
      </w:r>
      <w:r>
        <w:rPr>
          <w:rFonts w:hint="eastAsia" w:ascii="宋体" w:hAnsi="宋体" w:eastAsia="宋体" w:cs="宋体"/>
          <w:b/>
          <w:bCs w:val="0"/>
          <w:sz w:val="24"/>
          <w:szCs w:val="24"/>
          <w:highlight w:val="none"/>
        </w:rPr>
        <w:t>方：</w:t>
      </w:r>
      <w:r>
        <w:rPr>
          <w:rFonts w:hint="eastAsia" w:ascii="宋体" w:hAnsi="宋体" w:cs="宋体"/>
          <w:b/>
          <w:bCs w:val="0"/>
          <w:sz w:val="24"/>
          <w:szCs w:val="24"/>
          <w:highlight w:val="none"/>
          <w:lang w:val="en-US" w:eastAsia="zh-CN"/>
        </w:rPr>
        <w:t>XXXXXX</w:t>
      </w:r>
    </w:p>
    <w:p w14:paraId="454755B6">
      <w:pPr>
        <w:pStyle w:val="4"/>
        <w:rPr>
          <w:rFonts w:hint="eastAsia" w:ascii="宋体" w:hAnsi="宋体" w:eastAsia="宋体" w:cs="宋体"/>
          <w:sz w:val="24"/>
          <w:szCs w:val="24"/>
        </w:rPr>
      </w:pPr>
    </w:p>
    <w:p w14:paraId="7E91825A">
      <w:pPr>
        <w:keepNext w:val="0"/>
        <w:keepLines w:val="0"/>
        <w:pageBreakBefore w:val="0"/>
        <w:widowControl w:val="0"/>
        <w:kinsoku/>
        <w:wordWrap/>
        <w:overflowPunct/>
        <w:topLinePunct w:val="0"/>
        <w:autoSpaceDE/>
        <w:autoSpaceDN/>
        <w:bidi w:val="0"/>
        <w:adjustRightInd/>
        <w:snapToGrid w:val="0"/>
        <w:spacing w:before="0" w:after="0" w:line="360" w:lineRule="auto"/>
        <w:ind w:firstLine="480" w:firstLineChars="200"/>
        <w:jc w:val="left"/>
        <w:textAlignment w:val="auto"/>
        <w:outlineLvl w:val="0"/>
        <w:rPr>
          <w:rStyle w:val="12"/>
          <w:rFonts w:hint="eastAsia" w:ascii="宋体" w:hAnsi="宋体" w:eastAsia="宋体" w:cs="宋体"/>
          <w:i w:val="0"/>
          <w:iCs w:val="0"/>
          <w:caps w:val="0"/>
          <w:color w:val="auto"/>
          <w:spacing w:val="0"/>
          <w:sz w:val="24"/>
          <w:szCs w:val="24"/>
          <w:shd w:val="clear" w:color="auto" w:fill="FFFFFF"/>
        </w:rPr>
      </w:pPr>
      <w:r>
        <w:rPr>
          <w:rStyle w:val="12"/>
          <w:rFonts w:hint="eastAsia" w:ascii="宋体" w:hAnsi="宋体" w:eastAsia="宋体" w:cs="宋体"/>
          <w:i w:val="0"/>
          <w:iCs w:val="0"/>
          <w:caps w:val="0"/>
          <w:color w:val="auto"/>
          <w:spacing w:val="0"/>
          <w:sz w:val="24"/>
          <w:szCs w:val="24"/>
          <w:shd w:val="clear" w:color="auto" w:fill="FFFFFF"/>
        </w:rPr>
        <w:t>鉴于：甲方委托乙方为</w:t>
      </w:r>
      <w:r>
        <w:rPr>
          <w:rStyle w:val="12"/>
          <w:rFonts w:hint="eastAsia" w:ascii="宋体" w:hAnsi="宋体" w:eastAsia="宋体" w:cs="宋体"/>
          <w:i w:val="0"/>
          <w:iCs w:val="0"/>
          <w:caps w:val="0"/>
          <w:color w:val="auto"/>
          <w:spacing w:val="0"/>
          <w:sz w:val="24"/>
          <w:szCs w:val="24"/>
          <w:u w:val="single"/>
          <w:shd w:val="clear" w:color="auto" w:fill="FFFFFF"/>
        </w:rPr>
        <w:t>360终端安全管理系统延长授权及系统全面升级</w:t>
      </w:r>
      <w:r>
        <w:rPr>
          <w:rStyle w:val="12"/>
          <w:rFonts w:hint="eastAsia" w:ascii="宋体" w:hAnsi="宋体" w:eastAsia="宋体" w:cs="宋体"/>
          <w:i w:val="0"/>
          <w:iCs w:val="0"/>
          <w:caps w:val="0"/>
          <w:color w:val="auto"/>
          <w:spacing w:val="0"/>
          <w:sz w:val="24"/>
          <w:szCs w:val="24"/>
          <w:u w:val="single"/>
          <w:shd w:val="clear" w:color="auto" w:fill="FFFFFF"/>
          <w:lang w:val="en-US" w:eastAsia="zh-CN"/>
        </w:rPr>
        <w:t>项目</w:t>
      </w:r>
      <w:r>
        <w:rPr>
          <w:rStyle w:val="12"/>
          <w:rFonts w:hint="eastAsia" w:ascii="宋体" w:hAnsi="宋体" w:eastAsia="宋体" w:cs="宋体"/>
          <w:i w:val="0"/>
          <w:iCs w:val="0"/>
          <w:caps w:val="0"/>
          <w:color w:val="auto"/>
          <w:spacing w:val="0"/>
          <w:sz w:val="24"/>
          <w:szCs w:val="24"/>
          <w:shd w:val="clear" w:color="auto" w:fill="FFFFFF"/>
        </w:rPr>
        <w:t>提供专项技术服务，双方根据《中华人民共和国民法典》及其他有关规定，遵循平等、自愿、诚实信用原则，就该项目专项技术服务的有关事宜协商一致，特订立本合同，以资共同信守。</w:t>
      </w:r>
    </w:p>
    <w:p w14:paraId="7FB9EC3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1.1 技术服务的内容：</w:t>
      </w:r>
    </w:p>
    <w:p w14:paraId="6F376B49">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1.1.1</w:t>
      </w:r>
      <w:r>
        <w:rPr>
          <w:rFonts w:hint="eastAsia" w:ascii="宋体" w:hAnsi="宋体" w:eastAsia="宋体" w:cs="宋体"/>
          <w:sz w:val="24"/>
          <w:szCs w:val="24"/>
          <w:u w:val="single"/>
        </w:rPr>
        <w:t xml:space="preserve"> </w:t>
      </w:r>
      <w:r>
        <w:rPr>
          <w:rFonts w:hint="eastAsia" w:ascii="宋体" w:hAnsi="宋体"/>
          <w:szCs w:val="21"/>
          <w:highlight w:val="none"/>
          <w:u w:val="single"/>
        </w:rPr>
        <w:t>乙方为甲方</w:t>
      </w:r>
      <w:r>
        <w:rPr>
          <w:rStyle w:val="12"/>
          <w:rFonts w:hint="eastAsia" w:ascii="宋体" w:hAnsi="宋体" w:eastAsia="宋体" w:cs="宋体"/>
          <w:i w:val="0"/>
          <w:iCs w:val="0"/>
          <w:caps w:val="0"/>
          <w:color w:val="auto"/>
          <w:spacing w:val="0"/>
          <w:sz w:val="24"/>
          <w:szCs w:val="24"/>
          <w:u w:val="single"/>
          <w:shd w:val="clear" w:color="auto" w:fill="FFFFFF"/>
        </w:rPr>
        <w:t>360终端安全管理系统延长授权及系统全面升级</w:t>
      </w:r>
      <w:r>
        <w:rPr>
          <w:rStyle w:val="12"/>
          <w:rFonts w:hint="eastAsia" w:ascii="宋体" w:hAnsi="宋体" w:eastAsia="宋体" w:cs="宋体"/>
          <w:i w:val="0"/>
          <w:iCs w:val="0"/>
          <w:caps w:val="0"/>
          <w:color w:val="auto"/>
          <w:spacing w:val="0"/>
          <w:sz w:val="24"/>
          <w:szCs w:val="24"/>
          <w:u w:val="single"/>
          <w:shd w:val="clear" w:color="auto" w:fill="FFFFFF"/>
          <w:lang w:val="en-US" w:eastAsia="zh-CN"/>
        </w:rPr>
        <w:t>项目</w:t>
      </w:r>
      <w:r>
        <w:rPr>
          <w:rFonts w:hint="eastAsia" w:ascii="宋体" w:hAnsi="宋体"/>
          <w:szCs w:val="21"/>
          <w:highlight w:val="none"/>
          <w:u w:val="single"/>
        </w:rPr>
        <w:t>提供技术服务，其</w:t>
      </w:r>
      <w:r>
        <w:rPr>
          <w:rFonts w:hint="eastAsia" w:ascii="宋体" w:hAnsi="宋体"/>
          <w:szCs w:val="21"/>
          <w:highlight w:val="none"/>
          <w:u w:val="single"/>
          <w:lang w:val="en-US" w:eastAsia="zh-CN"/>
        </w:rPr>
        <w:t>服务</w:t>
      </w:r>
      <w:r>
        <w:rPr>
          <w:rFonts w:hint="eastAsia" w:ascii="宋体" w:hAnsi="宋体"/>
          <w:szCs w:val="21"/>
          <w:highlight w:val="none"/>
          <w:u w:val="single"/>
        </w:rPr>
        <w:t>项目包括：产品安装使用、产品培训、产品故障排除、</w:t>
      </w:r>
      <w:r>
        <w:rPr>
          <w:rFonts w:hint="eastAsia" w:ascii="宋体" w:hAnsi="宋体"/>
          <w:szCs w:val="21"/>
          <w:highlight w:val="none"/>
          <w:u w:val="single"/>
          <w:lang w:val="en-US" w:eastAsia="zh-CN"/>
        </w:rPr>
        <w:t>终端</w:t>
      </w:r>
      <w:r>
        <w:rPr>
          <w:rFonts w:hint="eastAsia" w:ascii="宋体" w:hAnsi="宋体"/>
          <w:szCs w:val="21"/>
          <w:highlight w:val="none"/>
          <w:u w:val="single"/>
        </w:rPr>
        <w:t>软件支持、软件升级后问题调试、版本升级、</w:t>
      </w:r>
      <w:r>
        <w:rPr>
          <w:rFonts w:hint="eastAsia" w:ascii="宋体" w:hAnsi="宋体"/>
          <w:szCs w:val="21"/>
          <w:highlight w:val="none"/>
          <w:u w:val="single"/>
          <w:lang w:val="en-US" w:eastAsia="zh-CN"/>
        </w:rPr>
        <w:t>授权期限延长</w:t>
      </w:r>
      <w:r>
        <w:rPr>
          <w:rFonts w:hint="eastAsia" w:ascii="宋体" w:hAnsi="宋体"/>
          <w:szCs w:val="21"/>
          <w:highlight w:val="none"/>
          <w:u w:val="single"/>
        </w:rPr>
        <w:t>、产品系统服务器软件</w:t>
      </w:r>
      <w:r>
        <w:rPr>
          <w:rFonts w:hint="eastAsia" w:ascii="宋体" w:hAnsi="宋体"/>
          <w:szCs w:val="21"/>
          <w:highlight w:val="none"/>
          <w:u w:val="single"/>
          <w:lang w:val="en-US" w:eastAsia="zh-CN"/>
        </w:rPr>
        <w:t>升级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35CA14B">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1.2 技术服务的</w:t>
      </w:r>
      <w:r>
        <w:rPr>
          <w:rFonts w:hint="eastAsia" w:ascii="宋体" w:hAnsi="宋体" w:eastAsia="宋体" w:cs="宋体"/>
          <w:sz w:val="24"/>
          <w:szCs w:val="24"/>
          <w:u w:val="none"/>
          <w:lang w:val="en-US" w:eastAsia="zh-CN"/>
        </w:rPr>
        <w:t>要求</w:t>
      </w:r>
      <w:r>
        <w:rPr>
          <w:rFonts w:hint="eastAsia" w:ascii="宋体" w:hAnsi="宋体" w:cs="宋体"/>
          <w:sz w:val="24"/>
          <w:szCs w:val="24"/>
          <w:u w:val="none"/>
          <w:lang w:val="en-US" w:eastAsia="zh-CN"/>
        </w:rPr>
        <w:t>与工作形式</w:t>
      </w:r>
      <w:r>
        <w:rPr>
          <w:rFonts w:hint="eastAsia" w:ascii="宋体" w:hAnsi="宋体" w:eastAsia="宋体" w:cs="宋体"/>
          <w:sz w:val="24"/>
          <w:szCs w:val="24"/>
          <w:u w:val="none"/>
        </w:rPr>
        <w:t>：</w:t>
      </w:r>
    </w:p>
    <w:p w14:paraId="6E4EA2A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20" w:firstLineChars="200"/>
        <w:textAlignment w:val="auto"/>
        <w:rPr>
          <w:rFonts w:hint="eastAsia" w:ascii="宋体" w:hAnsi="宋体"/>
          <w:szCs w:val="21"/>
          <w:highlight w:val="none"/>
          <w:u w:val="single"/>
        </w:rPr>
      </w:pPr>
      <w:r>
        <w:rPr>
          <w:rFonts w:hint="eastAsia" w:ascii="宋体" w:hAnsi="宋体"/>
          <w:szCs w:val="21"/>
          <w:highlight w:val="none"/>
          <w:u w:val="single"/>
        </w:rPr>
        <w:t>1.2.1.免费提供计算机病毒防治技术咨询与产品技术支持服务；服务方式可通过电话、电子邮件、传真、</w:t>
      </w:r>
      <w:r>
        <w:rPr>
          <w:rFonts w:hint="eastAsia" w:ascii="宋体" w:hAnsi="宋体"/>
          <w:szCs w:val="21"/>
          <w:highlight w:val="none"/>
          <w:u w:val="single"/>
          <w:lang w:val="en-US" w:eastAsia="zh-CN"/>
        </w:rPr>
        <w:t>远程协助、</w:t>
      </w:r>
      <w:r>
        <w:rPr>
          <w:rFonts w:hint="eastAsia" w:ascii="宋体" w:hAnsi="宋体"/>
          <w:szCs w:val="21"/>
          <w:highlight w:val="none"/>
          <w:u w:val="single"/>
        </w:rPr>
        <w:t>现场服务等。</w:t>
      </w:r>
    </w:p>
    <w:p w14:paraId="7F36C67B">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20" w:firstLineChars="200"/>
        <w:textAlignment w:val="auto"/>
        <w:rPr>
          <w:rFonts w:hint="eastAsia" w:ascii="宋体" w:hAnsi="宋体"/>
          <w:szCs w:val="21"/>
          <w:highlight w:val="none"/>
          <w:u w:val="single"/>
        </w:rPr>
      </w:pPr>
      <w:r>
        <w:rPr>
          <w:rFonts w:hint="eastAsia" w:ascii="宋体" w:hAnsi="宋体"/>
          <w:szCs w:val="21"/>
          <w:highlight w:val="none"/>
          <w:u w:val="single"/>
          <w:lang w:val="en-US" w:eastAsia="zh-CN"/>
        </w:rPr>
        <w:t>1.2.</w:t>
      </w:r>
      <w:r>
        <w:rPr>
          <w:rFonts w:hint="eastAsia" w:ascii="宋体" w:hAnsi="宋体"/>
          <w:szCs w:val="21"/>
          <w:highlight w:val="none"/>
          <w:u w:val="single"/>
        </w:rPr>
        <w:t>2.为用户提供公开的400或800免费电话，获得</w:t>
      </w:r>
      <w:r>
        <w:rPr>
          <w:rFonts w:hint="eastAsia" w:ascii="宋体" w:hAnsi="宋体"/>
          <w:szCs w:val="21"/>
          <w:highlight w:val="none"/>
          <w:u w:val="single"/>
          <w:lang w:val="en-US" w:eastAsia="zh-CN"/>
        </w:rPr>
        <w:t>7</w:t>
      </w:r>
      <w:r>
        <w:rPr>
          <w:rFonts w:hint="eastAsia" w:ascii="宋体" w:hAnsi="宋体"/>
          <w:szCs w:val="21"/>
          <w:highlight w:val="none"/>
          <w:u w:val="single"/>
        </w:rPr>
        <w:t xml:space="preserve"> * </w:t>
      </w:r>
      <w:r>
        <w:rPr>
          <w:rFonts w:hint="eastAsia" w:ascii="宋体" w:hAnsi="宋体"/>
          <w:szCs w:val="21"/>
          <w:highlight w:val="none"/>
          <w:u w:val="single"/>
          <w:lang w:val="en-US" w:eastAsia="zh-CN"/>
        </w:rPr>
        <w:t>24</w:t>
      </w:r>
      <w:r>
        <w:rPr>
          <w:rFonts w:hint="eastAsia" w:ascii="宋体" w:hAnsi="宋体"/>
          <w:szCs w:val="21"/>
          <w:highlight w:val="none"/>
          <w:u w:val="single"/>
        </w:rPr>
        <w:t>小时的技术服务。</w:t>
      </w:r>
    </w:p>
    <w:p w14:paraId="76DDF5B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20" w:firstLineChars="200"/>
        <w:textAlignment w:val="auto"/>
        <w:rPr>
          <w:rFonts w:hint="eastAsia" w:ascii="宋体" w:hAnsi="宋体"/>
          <w:szCs w:val="21"/>
          <w:highlight w:val="none"/>
          <w:u w:val="single"/>
        </w:rPr>
      </w:pPr>
      <w:r>
        <w:rPr>
          <w:rFonts w:hint="eastAsia" w:ascii="宋体" w:hAnsi="宋体"/>
          <w:szCs w:val="21"/>
          <w:highlight w:val="none"/>
          <w:u w:val="single"/>
          <w:lang w:val="en-US" w:eastAsia="zh-CN"/>
        </w:rPr>
        <w:t>1.2.</w:t>
      </w:r>
      <w:r>
        <w:rPr>
          <w:rFonts w:hint="eastAsia" w:ascii="宋体" w:hAnsi="宋体"/>
          <w:szCs w:val="21"/>
          <w:highlight w:val="none"/>
          <w:u w:val="single"/>
        </w:rPr>
        <w:t>3.提供本地产品售后电话</w:t>
      </w:r>
      <w:r>
        <w:rPr>
          <w:rFonts w:hint="eastAsia" w:ascii="宋体" w:hAnsi="宋体"/>
          <w:szCs w:val="21"/>
          <w:highlight w:val="none"/>
          <w:u w:val="single"/>
          <w:lang w:val="en-US" w:eastAsia="zh-CN"/>
        </w:rPr>
        <w:t>支持</w:t>
      </w:r>
      <w:r>
        <w:rPr>
          <w:rFonts w:hint="eastAsia" w:ascii="宋体" w:hAnsi="宋体"/>
          <w:szCs w:val="21"/>
          <w:highlight w:val="none"/>
          <w:u w:val="single"/>
        </w:rPr>
        <w:t>，及授权的认证工程师上门服务；在接到用户求助后，1小时内做出响应，4小时内到达现场，24小时内处理和解决问题。</w:t>
      </w:r>
    </w:p>
    <w:p w14:paraId="12264E3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20" w:firstLineChars="200"/>
        <w:textAlignment w:val="auto"/>
        <w:rPr>
          <w:rFonts w:hint="eastAsia" w:ascii="宋体" w:hAnsi="宋体"/>
          <w:szCs w:val="21"/>
          <w:highlight w:val="none"/>
          <w:u w:val="single"/>
        </w:rPr>
      </w:pPr>
      <w:r>
        <w:rPr>
          <w:rFonts w:hint="eastAsia" w:ascii="宋体" w:hAnsi="宋体"/>
          <w:szCs w:val="21"/>
          <w:highlight w:val="none"/>
          <w:u w:val="single"/>
        </w:rPr>
        <w:t>4.对提交的可疑文件（包括新病毒），厂商必须在接到可疑文件的24小时内给予答复。</w:t>
      </w:r>
    </w:p>
    <w:p w14:paraId="3223A84C">
      <w:pPr>
        <w:spacing w:line="360" w:lineRule="auto"/>
        <w:outlineLvl w:val="0"/>
        <w:rPr>
          <w:rFonts w:hint="eastAsia" w:ascii="宋体" w:hAnsi="宋体" w:eastAsia="宋体"/>
          <w:szCs w:val="21"/>
          <w:highlight w:val="none"/>
          <w:lang w:val="en-US" w:eastAsia="zh-CN"/>
        </w:rPr>
      </w:pPr>
      <w:r>
        <w:rPr>
          <w:rFonts w:hint="eastAsia" w:ascii="宋体" w:hAnsi="宋体"/>
          <w:szCs w:val="21"/>
          <w:highlight w:val="none"/>
          <w:u w:val="none"/>
          <w:lang w:val="en-US" w:eastAsia="zh-CN"/>
        </w:rPr>
        <w:t>；</w:t>
      </w:r>
    </w:p>
    <w:p w14:paraId="77AD757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1.3 以本合同第1条约定作为技术服务成果的验收标准。若双方协商一致对本合同第1条约定有变更，以变更后的书面补充约定为验收标准（下同）。</w:t>
      </w:r>
    </w:p>
    <w:p w14:paraId="441F185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 xml:space="preserve"> 技术服务工作实施地点为：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山西太原</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72AAE4D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 xml:space="preserve"> 在本合同有效期间内，乙方就本合同同类项目与甲方的竞争单位订立技术服务合同时，应征得甲方书面同意。 </w:t>
      </w:r>
    </w:p>
    <w:p w14:paraId="477219DD">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bookmarkStart w:id="13" w:name="_Toc22035"/>
      <w:r>
        <w:rPr>
          <w:rFonts w:hint="eastAsia" w:ascii="宋体" w:hAnsi="宋体" w:cs="宋体"/>
          <w:b/>
          <w:bCs/>
          <w:kern w:val="0"/>
          <w:szCs w:val="24"/>
        </w:rPr>
        <w:t>2.甲方对技术背景资料、原始数据以及协作事项的提供</w:t>
      </w:r>
      <w:bookmarkEnd w:id="13"/>
    </w:p>
    <w:p w14:paraId="2BA30FD6">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2.1 本合同生效之日起</w:t>
      </w:r>
      <w:r>
        <w:rPr>
          <w:rFonts w:ascii="宋体" w:hAnsi="宋体" w:cs="宋体"/>
          <w:szCs w:val="24"/>
        </w:rPr>
        <w:t>7</w:t>
      </w:r>
      <w:r>
        <w:rPr>
          <w:rFonts w:hint="eastAsia" w:ascii="宋体" w:hAnsi="宋体" w:cs="宋体"/>
          <w:szCs w:val="24"/>
        </w:rPr>
        <w:t>个工作日内，甲方应向乙方提供下列技术背景资料、原始数据：</w:t>
      </w:r>
    </w:p>
    <w:p w14:paraId="6E2E525E">
      <w:pPr>
        <w:spacing w:before="163" w:beforeLines="50" w:after="0" w:line="400" w:lineRule="atLeast"/>
        <w:ind w:firstLine="420" w:firstLineChars="200"/>
        <w:rPr>
          <w:rFonts w:hint="eastAsia" w:ascii="宋体" w:hAnsi="宋体" w:cs="宋体"/>
          <w:color w:val="000000"/>
          <w:szCs w:val="24"/>
        </w:rPr>
      </w:pPr>
      <w:r>
        <w:rPr>
          <w:rFonts w:hint="eastAsia" w:ascii="宋体" w:hAnsi="宋体" w:cs="宋体"/>
          <w:color w:val="000000"/>
          <w:szCs w:val="24"/>
        </w:rPr>
        <w:t>2.1.1</w:t>
      </w:r>
      <w:r>
        <w:rPr>
          <w:rFonts w:hint="eastAsia" w:ascii="宋体" w:hAnsi="宋体" w:cs="宋体"/>
          <w:color w:val="000000"/>
          <w:szCs w:val="24"/>
          <w:u w:val="single"/>
        </w:rPr>
        <w:t xml:space="preserve"> </w:t>
      </w:r>
      <w:r>
        <w:rPr>
          <w:rFonts w:hint="eastAsia" w:ascii="宋体" w:hAnsi="宋体" w:cs="宋体"/>
          <w:color w:val="000000"/>
          <w:szCs w:val="24"/>
          <w:u w:val="single"/>
          <w:lang w:val="en-US" w:eastAsia="zh-CN"/>
        </w:rPr>
        <w:t>控制中心</w:t>
      </w:r>
      <w:r>
        <w:rPr>
          <w:rFonts w:hint="eastAsia" w:ascii="宋体" w:hAnsi="宋体" w:cs="宋体"/>
          <w:color w:val="000000"/>
          <w:szCs w:val="24"/>
          <w:u w:val="single"/>
        </w:rPr>
        <w:t xml:space="preserve">服务器IP </w:t>
      </w:r>
      <w:r>
        <w:rPr>
          <w:rFonts w:hint="eastAsia" w:ascii="宋体" w:hAnsi="宋体" w:cs="宋体"/>
          <w:color w:val="000000"/>
          <w:szCs w:val="24"/>
        </w:rPr>
        <w:t>；</w:t>
      </w:r>
    </w:p>
    <w:p w14:paraId="2AB93CEE">
      <w:pPr>
        <w:spacing w:before="163" w:beforeLines="50" w:after="0" w:line="400" w:lineRule="atLeast"/>
        <w:ind w:firstLine="420" w:firstLineChars="200"/>
        <w:rPr>
          <w:rFonts w:hint="eastAsia" w:ascii="宋体" w:hAnsi="宋体" w:cs="宋体"/>
          <w:color w:val="000000"/>
          <w:szCs w:val="24"/>
        </w:rPr>
      </w:pPr>
      <w:r>
        <w:rPr>
          <w:rFonts w:hint="eastAsia" w:ascii="宋体" w:hAnsi="宋体" w:cs="宋体"/>
          <w:color w:val="000000"/>
          <w:szCs w:val="24"/>
        </w:rPr>
        <w:t>2.1.2</w:t>
      </w:r>
      <w:r>
        <w:rPr>
          <w:rFonts w:hint="eastAsia" w:ascii="宋体" w:hAnsi="宋体" w:cs="宋体"/>
          <w:color w:val="000000"/>
          <w:szCs w:val="24"/>
          <w:u w:val="single"/>
        </w:rPr>
        <w:t xml:space="preserve"> 服务器登录用户名和密码 </w:t>
      </w:r>
      <w:r>
        <w:rPr>
          <w:rFonts w:hint="eastAsia" w:ascii="宋体" w:hAnsi="宋体" w:cs="宋体"/>
          <w:color w:val="000000"/>
          <w:szCs w:val="24"/>
        </w:rPr>
        <w:t>。</w:t>
      </w:r>
    </w:p>
    <w:p w14:paraId="4E82E2C1">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2.2 本合同生效之日起</w:t>
      </w:r>
      <w:r>
        <w:rPr>
          <w:rFonts w:ascii="宋体" w:hAnsi="宋体" w:cs="宋体"/>
          <w:szCs w:val="24"/>
        </w:rPr>
        <w:t>7</w:t>
      </w:r>
      <w:r>
        <w:rPr>
          <w:rFonts w:hint="eastAsia" w:ascii="宋体" w:hAnsi="宋体" w:cs="宋体"/>
          <w:szCs w:val="24"/>
        </w:rPr>
        <w:t>个工作日内，甲方应向乙方提供下列协作事项：</w:t>
      </w:r>
    </w:p>
    <w:p w14:paraId="149347F9">
      <w:pPr>
        <w:spacing w:before="163" w:beforeLines="50" w:after="0" w:line="400" w:lineRule="atLeast"/>
        <w:ind w:firstLine="420" w:firstLineChars="200"/>
        <w:rPr>
          <w:rFonts w:hint="eastAsia" w:ascii="宋体" w:hAnsi="宋体" w:cs="宋体"/>
          <w:color w:val="000000"/>
          <w:szCs w:val="24"/>
        </w:rPr>
      </w:pPr>
      <w:r>
        <w:rPr>
          <w:rFonts w:hint="eastAsia" w:ascii="宋体" w:hAnsi="宋体" w:cs="宋体"/>
          <w:color w:val="000000"/>
          <w:szCs w:val="24"/>
        </w:rPr>
        <w:t>2.2.1</w:t>
      </w:r>
      <w:r>
        <w:rPr>
          <w:rFonts w:hint="eastAsia" w:ascii="宋体" w:hAnsi="宋体" w:cs="宋体"/>
          <w:color w:val="000000"/>
          <w:szCs w:val="24"/>
          <w:u w:val="single"/>
        </w:rPr>
        <w:t xml:space="preserve"> 必要的工作场所和工具 </w:t>
      </w:r>
      <w:r>
        <w:rPr>
          <w:rFonts w:hint="eastAsia" w:ascii="宋体" w:hAnsi="宋体" w:cs="宋体"/>
          <w:color w:val="000000"/>
          <w:szCs w:val="24"/>
        </w:rPr>
        <w:t>；</w:t>
      </w:r>
    </w:p>
    <w:p w14:paraId="2B5BB647">
      <w:pPr>
        <w:spacing w:before="163" w:beforeLines="50" w:after="0" w:line="400" w:lineRule="atLeast"/>
        <w:ind w:firstLine="420" w:firstLineChars="200"/>
        <w:rPr>
          <w:rFonts w:hint="eastAsia" w:ascii="宋体" w:hAnsi="宋体" w:cs="宋体"/>
          <w:color w:val="000000"/>
          <w:szCs w:val="24"/>
        </w:rPr>
      </w:pPr>
      <w:r>
        <w:rPr>
          <w:rFonts w:hint="eastAsia" w:ascii="宋体" w:hAnsi="宋体" w:cs="宋体"/>
          <w:color w:val="000000"/>
          <w:szCs w:val="24"/>
        </w:rPr>
        <w:t>2.2.2</w:t>
      </w:r>
      <w:r>
        <w:rPr>
          <w:rFonts w:hint="eastAsia" w:ascii="宋体" w:hAnsi="宋体" w:cs="宋体"/>
          <w:color w:val="000000"/>
          <w:szCs w:val="24"/>
          <w:u w:val="single"/>
        </w:rPr>
        <w:t xml:space="preserve"> 委派相应的人员配合乙方工作 </w:t>
      </w:r>
      <w:r>
        <w:rPr>
          <w:rFonts w:hint="eastAsia" w:ascii="宋体" w:hAnsi="宋体" w:cs="宋体"/>
          <w:color w:val="000000"/>
          <w:szCs w:val="24"/>
        </w:rPr>
        <w:t>；</w:t>
      </w:r>
    </w:p>
    <w:p w14:paraId="54AE57CD">
      <w:pPr>
        <w:spacing w:before="163" w:beforeLines="50" w:after="0" w:line="400" w:lineRule="atLeast"/>
        <w:ind w:firstLine="420" w:firstLineChars="200"/>
        <w:rPr>
          <w:rFonts w:hint="eastAsia" w:ascii="宋体" w:hAnsi="宋体" w:cs="宋体"/>
          <w:color w:val="000000"/>
          <w:szCs w:val="24"/>
        </w:rPr>
      </w:pPr>
      <w:r>
        <w:rPr>
          <w:rFonts w:hint="eastAsia" w:ascii="宋体" w:hAnsi="宋体" w:cs="宋体"/>
          <w:color w:val="000000"/>
          <w:szCs w:val="24"/>
        </w:rPr>
        <w:t>2.2.3</w:t>
      </w:r>
      <w:r>
        <w:rPr>
          <w:rFonts w:hint="eastAsia" w:ascii="宋体" w:hAnsi="宋体" w:cs="宋体"/>
          <w:color w:val="000000"/>
          <w:szCs w:val="24"/>
          <w:u w:val="single"/>
        </w:rPr>
        <w:t xml:space="preserve"> 负责协调甲方各相关部门的工作 </w:t>
      </w:r>
      <w:r>
        <w:rPr>
          <w:rFonts w:hint="eastAsia" w:ascii="宋体" w:hAnsi="宋体" w:cs="宋体"/>
          <w:color w:val="000000"/>
          <w:szCs w:val="24"/>
        </w:rPr>
        <w:t>。</w:t>
      </w:r>
    </w:p>
    <w:p w14:paraId="58F93B0D">
      <w:pPr>
        <w:spacing w:before="163" w:beforeLines="50" w:after="0" w:line="400" w:lineRule="atLeast"/>
        <w:ind w:firstLine="420" w:firstLineChars="200"/>
        <w:rPr>
          <w:rFonts w:hint="eastAsia"/>
        </w:rPr>
      </w:pPr>
      <w:r>
        <w:rPr>
          <w:rFonts w:hint="eastAsia" w:ascii="宋体" w:hAnsi="宋体" w:cs="宋体"/>
          <w:szCs w:val="24"/>
        </w:rPr>
        <w:t xml:space="preserve">2.3 乙方发现甲方提供的技术背景资料、原始数据有缺陷的，应及时通知甲方补充、修改，保证技术服务的质量。 </w:t>
      </w:r>
    </w:p>
    <w:p w14:paraId="7FB3ABFF">
      <w:pPr>
        <w:pStyle w:val="5"/>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0"/>
        <w:jc w:val="left"/>
        <w:textAlignment w:val="auto"/>
        <w:outlineLvl w:val="0"/>
        <w:rPr>
          <w:rFonts w:hint="eastAsia" w:ascii="宋体" w:hAnsi="宋体" w:eastAsia="宋体" w:cs="宋体"/>
          <w:b/>
          <w:bCs/>
          <w:kern w:val="0"/>
          <w:sz w:val="24"/>
          <w:szCs w:val="24"/>
          <w:lang w:val="en-US"/>
        </w:rPr>
      </w:pPr>
      <w:bookmarkStart w:id="14" w:name="_Toc21832"/>
      <w:r>
        <w:rPr>
          <w:rFonts w:hint="eastAsia" w:ascii="宋体" w:hAnsi="宋体" w:eastAsia="宋体" w:cs="宋体"/>
          <w:b/>
          <w:bCs/>
          <w:kern w:val="0"/>
          <w:sz w:val="24"/>
          <w:szCs w:val="24"/>
          <w:lang w:val="en-US" w:eastAsia="zh-CN"/>
        </w:rPr>
        <w:t>3.本合同履行期间双方的联系人</w:t>
      </w:r>
      <w:bookmarkEnd w:id="14"/>
    </w:p>
    <w:p w14:paraId="24880DAD">
      <w:pPr>
        <w:spacing w:before="163" w:beforeLines="50" w:after="0" w:line="400" w:lineRule="atLeast"/>
        <w:ind w:firstLine="480" w:firstLineChars="200"/>
        <w:rPr>
          <w:rFonts w:hint="eastAsia" w:ascii="宋体" w:hAnsi="宋体" w:cs="宋体"/>
          <w:szCs w:val="24"/>
          <w:highlight w:val="none"/>
          <w:u w:val="single"/>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 xml:space="preserve">.1 </w:t>
      </w:r>
      <w:r>
        <w:rPr>
          <w:rFonts w:hint="eastAsia" w:ascii="宋体" w:hAnsi="宋体" w:cs="宋体"/>
          <w:szCs w:val="24"/>
          <w:highlight w:val="none"/>
        </w:rPr>
        <w:t>甲方联系人姓名：</w:t>
      </w:r>
      <w:r>
        <w:rPr>
          <w:rFonts w:hint="eastAsia" w:ascii="宋体" w:hAnsi="宋体" w:cs="宋体"/>
          <w:szCs w:val="24"/>
          <w:highlight w:val="none"/>
          <w:u w:val="single"/>
          <w:lang w:val="en-US" w:eastAsia="zh-CN"/>
        </w:rPr>
        <w:t>XXX</w:t>
      </w:r>
      <w:r>
        <w:rPr>
          <w:rFonts w:hint="eastAsia" w:ascii="宋体" w:hAnsi="宋体" w:cs="宋体"/>
          <w:szCs w:val="24"/>
          <w:highlight w:val="none"/>
          <w:u w:val="single"/>
        </w:rPr>
        <w:t xml:space="preserve"> </w:t>
      </w:r>
      <w:r>
        <w:rPr>
          <w:rFonts w:hint="eastAsia" w:ascii="宋体" w:hAnsi="宋体" w:cs="宋体"/>
          <w:szCs w:val="24"/>
          <w:highlight w:val="none"/>
        </w:rPr>
        <w:t>，职位：</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XXXX</w:t>
      </w:r>
      <w:r>
        <w:rPr>
          <w:rFonts w:hint="eastAsia" w:ascii="宋体" w:hAnsi="宋体" w:cs="宋体"/>
          <w:szCs w:val="24"/>
          <w:highlight w:val="none"/>
          <w:u w:val="single"/>
        </w:rPr>
        <w:t xml:space="preserve">         </w:t>
      </w:r>
    </w:p>
    <w:p w14:paraId="3329006B">
      <w:pPr>
        <w:spacing w:before="163" w:beforeLines="50" w:after="0" w:line="400" w:lineRule="atLeast"/>
        <w:ind w:firstLine="420" w:firstLineChars="200"/>
        <w:rPr>
          <w:rFonts w:hint="eastAsia" w:ascii="宋体" w:hAnsi="宋体" w:cs="宋体"/>
          <w:szCs w:val="24"/>
          <w:highlight w:val="none"/>
        </w:rPr>
      </w:pPr>
      <w:r>
        <w:rPr>
          <w:rFonts w:hint="eastAsia" w:ascii="宋体" w:hAnsi="宋体" w:cs="宋体"/>
          <w:szCs w:val="24"/>
          <w:highlight w:val="none"/>
        </w:rPr>
        <w:t>办公电话：</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XXX</w:t>
      </w:r>
      <w:r>
        <w:rPr>
          <w:rFonts w:hint="eastAsia" w:ascii="宋体" w:hAnsi="宋体" w:cs="宋体"/>
          <w:szCs w:val="24"/>
          <w:highlight w:val="none"/>
          <w:u w:val="single"/>
        </w:rPr>
        <w:t xml:space="preserve"> </w:t>
      </w:r>
      <w:r>
        <w:rPr>
          <w:rFonts w:hint="eastAsia" w:ascii="宋体" w:hAnsi="宋体" w:cs="宋体"/>
          <w:szCs w:val="24"/>
          <w:highlight w:val="none"/>
        </w:rPr>
        <w:t>，手机：</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 xml:space="preserve">XXX  </w:t>
      </w:r>
      <w:r>
        <w:rPr>
          <w:rFonts w:hint="eastAsia" w:ascii="宋体" w:hAnsi="宋体" w:cs="宋体"/>
          <w:szCs w:val="24"/>
          <w:highlight w:val="none"/>
          <w:u w:val="single"/>
        </w:rPr>
        <w:t xml:space="preserve">   </w:t>
      </w:r>
    </w:p>
    <w:p w14:paraId="572BBF28">
      <w:pPr>
        <w:keepNext w:val="0"/>
        <w:keepLines w:val="0"/>
        <w:pageBreakBefore w:val="0"/>
        <w:widowControl/>
        <w:kinsoku/>
        <w:wordWrap/>
        <w:overflowPunct/>
        <w:topLinePunct w:val="0"/>
        <w:autoSpaceDE/>
        <w:autoSpaceDN/>
        <w:bidi w:val="0"/>
        <w:adjustRightInd/>
        <w:snapToGrid/>
        <w:spacing w:before="163" w:beforeLines="50" w:after="0" w:line="400" w:lineRule="atLeast"/>
        <w:ind w:firstLine="420" w:firstLineChars="200"/>
        <w:textAlignment w:val="auto"/>
        <w:rPr>
          <w:rFonts w:hint="eastAsia" w:ascii="宋体" w:hAnsi="宋体" w:eastAsia="宋体" w:cs="宋体"/>
          <w:sz w:val="24"/>
          <w:szCs w:val="24"/>
          <w:u w:val="none"/>
        </w:rPr>
      </w:pPr>
      <w:r>
        <w:rPr>
          <w:rFonts w:hint="eastAsia" w:ascii="宋体" w:hAnsi="宋体" w:cs="宋体"/>
          <w:szCs w:val="24"/>
          <w:highlight w:val="none"/>
        </w:rPr>
        <w:t>送达地址：</w:t>
      </w:r>
      <w:r>
        <w:rPr>
          <w:rFonts w:hint="eastAsia" w:ascii="宋体" w:hAnsi="宋体" w:cs="宋体"/>
          <w:szCs w:val="24"/>
          <w:highlight w:val="none"/>
          <w:u w:val="single"/>
        </w:rPr>
        <w:t xml:space="preserve"> </w:t>
      </w:r>
      <w:r>
        <w:rPr>
          <w:rFonts w:hint="eastAsia" w:ascii="宋体" w:hAnsi="宋体" w:cs="宋体"/>
          <w:color w:val="auto"/>
          <w:szCs w:val="24"/>
          <w:highlight w:val="none"/>
          <w:u w:val="single"/>
        </w:rPr>
        <w:t>山西省太原市万柏林区兴华西街129号</w:t>
      </w:r>
      <w:r>
        <w:rPr>
          <w:rFonts w:hint="eastAsia" w:ascii="宋体" w:hAnsi="宋体" w:cs="宋体"/>
          <w:szCs w:val="24"/>
          <w:highlight w:val="none"/>
          <w:u w:val="single"/>
        </w:rPr>
        <w:t xml:space="preserve">  </w:t>
      </w:r>
      <w:r>
        <w:rPr>
          <w:rFonts w:hint="eastAsia" w:ascii="宋体" w:hAnsi="宋体" w:cs="宋体"/>
          <w:szCs w:val="24"/>
          <w:highlight w:val="none"/>
        </w:rPr>
        <w:t>，邮政编码：</w:t>
      </w:r>
      <w:r>
        <w:rPr>
          <w:rFonts w:hint="eastAsia" w:ascii="宋体" w:hAnsi="宋体" w:cs="宋体"/>
          <w:szCs w:val="24"/>
          <w:highlight w:val="none"/>
          <w:u w:val="single"/>
          <w:lang w:val="en-US" w:eastAsia="zh-CN"/>
        </w:rPr>
        <w:t>030000</w:t>
      </w:r>
    </w:p>
    <w:p w14:paraId="60CCB8B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.2 乙方联系人姓名：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XXX</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，职位：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XXX</w:t>
      </w:r>
      <w:r>
        <w:rPr>
          <w:rFonts w:hint="eastAsia" w:ascii="宋体" w:hAnsi="宋体" w:eastAsia="宋体" w:cs="宋体"/>
          <w:sz w:val="24"/>
          <w:szCs w:val="24"/>
          <w:u w:val="single"/>
        </w:rPr>
        <w:t xml:space="preserve"> </w:t>
      </w:r>
    </w:p>
    <w:p w14:paraId="54B9FE2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办公电话：</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XXX</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，手机：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XXX</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ED6B04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none"/>
        </w:rPr>
        <w:t>送达地址：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XXXXXXXX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，邮政编码：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XXXXX</w:t>
      </w:r>
      <w:r>
        <w:rPr>
          <w:rFonts w:hint="eastAsia" w:ascii="宋体" w:hAnsi="宋体" w:eastAsia="宋体" w:cs="宋体"/>
          <w:sz w:val="24"/>
          <w:szCs w:val="24"/>
          <w:u w:val="single"/>
        </w:rPr>
        <w:t xml:space="preserve">  </w:t>
      </w:r>
    </w:p>
    <w:p w14:paraId="3D28FF1B">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single"/>
        </w:rPr>
      </w:pPr>
    </w:p>
    <w:p w14:paraId="792C9E12">
      <w:pPr>
        <w:pStyle w:val="5"/>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0"/>
        <w:jc w:val="left"/>
        <w:textAlignment w:val="auto"/>
        <w:outlineLvl w:val="0"/>
        <w:rPr>
          <w:rFonts w:hint="eastAsia" w:ascii="宋体" w:hAnsi="宋体" w:eastAsia="宋体" w:cs="宋体"/>
          <w:b/>
          <w:bCs/>
          <w:kern w:val="0"/>
          <w:sz w:val="24"/>
          <w:szCs w:val="24"/>
          <w:lang w:val="en-US"/>
        </w:rPr>
      </w:pPr>
      <w:bookmarkStart w:id="15" w:name="_Toc16284"/>
      <w:r>
        <w:rPr>
          <w:rFonts w:hint="eastAsia" w:ascii="宋体" w:hAnsi="宋体" w:eastAsia="宋体" w:cs="宋体"/>
          <w:b/>
          <w:bCs/>
          <w:kern w:val="0"/>
          <w:sz w:val="24"/>
          <w:szCs w:val="24"/>
          <w:lang w:val="en-US" w:eastAsia="zh-CN"/>
        </w:rPr>
        <w:t>4.技术服务完成期限、成果交付时间</w:t>
      </w:r>
      <w:bookmarkEnd w:id="15"/>
      <w:r>
        <w:rPr>
          <w:rFonts w:hint="eastAsia" w:ascii="宋体" w:hAnsi="宋体" w:eastAsia="宋体" w:cs="宋体"/>
          <w:b/>
          <w:bCs/>
          <w:kern w:val="0"/>
          <w:sz w:val="24"/>
          <w:szCs w:val="24"/>
          <w:lang w:val="en-US"/>
        </w:rPr>
        <w:t xml:space="preserve">     </w:t>
      </w:r>
    </w:p>
    <w:p w14:paraId="64F54AE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 xml:space="preserve">.1 </w:t>
      </w:r>
      <w:r>
        <w:rPr>
          <w:rFonts w:hint="eastAsia" w:ascii="宋体" w:hAnsi="宋体" w:eastAsia="宋体" w:cs="宋体"/>
          <w:sz w:val="24"/>
          <w:szCs w:val="24"/>
          <w:u w:val="none"/>
          <w:lang w:val="en-US" w:eastAsia="zh-CN"/>
        </w:rPr>
        <w:t>技术服务期限：</w:t>
      </w:r>
      <w:r>
        <w:rPr>
          <w:rFonts w:hint="eastAsia" w:ascii="宋体" w:hAnsi="宋体" w:eastAsia="宋体" w:cs="宋体"/>
          <w:sz w:val="24"/>
          <w:szCs w:val="24"/>
          <w:u w:val="none"/>
        </w:rPr>
        <w:t>即自本合同生效之日起至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9</w:t>
      </w:r>
      <w:r>
        <w:rPr>
          <w:rFonts w:hint="eastAsia" w:ascii="宋体" w:hAnsi="宋体" w:eastAsia="宋体" w:cs="宋体"/>
          <w:sz w:val="24"/>
          <w:szCs w:val="24"/>
          <w:u w:val="none"/>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X</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月止。                                                                    </w:t>
      </w:r>
    </w:p>
    <w:p w14:paraId="10FE6F3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.2. 技术服务成果交付地点为甲方现场，地址：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山西太原</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47929F04">
      <w:pPr>
        <w:autoSpaceDE/>
        <w:autoSpaceDN/>
        <w:ind w:firstLine="480" w:firstLineChars="200"/>
        <w:rPr>
          <w:rFonts w:hint="eastAsia" w:ascii="宋体" w:hAnsi="宋体" w:eastAsia="宋体" w:cs="宋体"/>
          <w:b/>
          <w:bCs/>
          <w:kern w:val="0"/>
          <w:sz w:val="24"/>
          <w:szCs w:val="24"/>
          <w:lang w:val="en-US"/>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技术服务成果质量保证期届满后，甲方若在应用、实施中发生障碍、疑难等问题，接到甲方通知后，乙方应在最快时间作出响应，及时提供排除障碍、解疑等服务。</w:t>
      </w:r>
    </w:p>
    <w:p w14:paraId="0FEF3DCF">
      <w:pPr>
        <w:pStyle w:val="5"/>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0"/>
        <w:jc w:val="left"/>
        <w:textAlignment w:val="auto"/>
        <w:outlineLvl w:val="0"/>
        <w:rPr>
          <w:rFonts w:hint="eastAsia" w:ascii="宋体" w:hAnsi="宋体" w:eastAsia="宋体" w:cs="宋体"/>
          <w:b/>
          <w:bCs/>
          <w:kern w:val="0"/>
          <w:sz w:val="24"/>
          <w:szCs w:val="24"/>
          <w:lang w:val="en-US"/>
        </w:rPr>
      </w:pPr>
      <w:bookmarkStart w:id="16" w:name="_Toc22332"/>
      <w:r>
        <w:rPr>
          <w:rFonts w:hint="eastAsia" w:ascii="宋体" w:hAnsi="宋体" w:eastAsia="宋体" w:cs="宋体"/>
          <w:b/>
          <w:bCs/>
          <w:kern w:val="0"/>
          <w:sz w:val="24"/>
          <w:szCs w:val="24"/>
          <w:lang w:val="en-US" w:eastAsia="zh-CN"/>
        </w:rPr>
        <w:t>5.本合同报酬、支付条件及支付期限</w:t>
      </w:r>
      <w:bookmarkEnd w:id="16"/>
    </w:p>
    <w:p w14:paraId="42758B81">
      <w:pPr>
        <w:spacing w:before="163" w:beforeLines="50" w:after="0" w:line="400" w:lineRule="atLeast"/>
        <w:ind w:firstLine="420" w:firstLineChars="200"/>
        <w:rPr>
          <w:rFonts w:hint="eastAsia" w:ascii="宋体" w:hAnsi="宋体" w:cs="宋体"/>
          <w:szCs w:val="24"/>
        </w:rPr>
      </w:pPr>
      <w:r>
        <w:rPr>
          <w:rFonts w:hint="eastAsia" w:ascii="宋体" w:hAnsi="宋体" w:cs="宋体"/>
          <w:szCs w:val="24"/>
          <w:lang w:val="en-US" w:eastAsia="zh-CN"/>
        </w:rPr>
        <w:t>5</w:t>
      </w:r>
      <w:r>
        <w:rPr>
          <w:rFonts w:hint="eastAsia" w:ascii="宋体" w:hAnsi="宋体" w:cs="宋体"/>
          <w:szCs w:val="24"/>
        </w:rPr>
        <w:t xml:space="preserve">.1 </w:t>
      </w:r>
      <w:r>
        <w:rPr>
          <w:rFonts w:hint="eastAsia" w:ascii="宋体" w:hAnsi="宋体" w:cs="宋体"/>
          <w:color w:val="000000"/>
          <w:szCs w:val="24"/>
        </w:rPr>
        <w:t>本项目技术服务报酬为含税价（小写：</w:t>
      </w:r>
      <w:r>
        <w:rPr>
          <w:rFonts w:hint="eastAsia" w:ascii="宋体" w:hAnsi="宋体" w:cs="宋体"/>
          <w:color w:val="000000"/>
          <w:szCs w:val="24"/>
          <w:u w:val="single"/>
          <w:lang w:val="en-US" w:eastAsia="zh-CN"/>
        </w:rPr>
        <w:t>XXX</w:t>
      </w:r>
      <w:r>
        <w:rPr>
          <w:rFonts w:hint="eastAsia" w:ascii="宋体" w:hAnsi="宋体" w:cs="宋体"/>
          <w:color w:val="000000"/>
          <w:szCs w:val="24"/>
          <w:u w:val="single"/>
        </w:rPr>
        <w:t>元</w:t>
      </w:r>
      <w:r>
        <w:rPr>
          <w:rFonts w:hint="eastAsia" w:ascii="宋体" w:hAnsi="宋体" w:cs="宋体"/>
          <w:color w:val="000000"/>
          <w:szCs w:val="24"/>
        </w:rPr>
        <w:t>），人民币</w:t>
      </w:r>
      <w:r>
        <w:rPr>
          <w:rFonts w:hint="eastAsia" w:ascii="宋体" w:hAnsi="宋体" w:cs="宋体"/>
          <w:color w:val="000000"/>
          <w:szCs w:val="24"/>
          <w:u w:val="single"/>
          <w:lang w:val="en-US" w:eastAsia="zh-CN"/>
        </w:rPr>
        <w:t>XXXX（大写）元</w:t>
      </w:r>
      <w:r>
        <w:rPr>
          <w:rFonts w:hint="eastAsia" w:ascii="宋体" w:hAnsi="宋体" w:cs="宋体"/>
          <w:color w:val="000000"/>
          <w:szCs w:val="24"/>
        </w:rPr>
        <w:t>（其中不含税金额</w:t>
      </w:r>
      <w:r>
        <w:rPr>
          <w:rFonts w:hint="eastAsia" w:ascii="宋体" w:hAnsi="宋体" w:cs="宋体"/>
          <w:color w:val="000000"/>
          <w:szCs w:val="24"/>
          <w:u w:val="single"/>
          <w:lang w:val="en-US" w:eastAsia="zh-CN"/>
        </w:rPr>
        <w:t>XXX</w:t>
      </w:r>
      <w:r>
        <w:rPr>
          <w:rFonts w:hint="eastAsia" w:ascii="宋体" w:hAnsi="宋体" w:cs="宋体"/>
          <w:color w:val="000000"/>
          <w:szCs w:val="24"/>
        </w:rPr>
        <w:t>元，税额</w:t>
      </w:r>
      <w:r>
        <w:rPr>
          <w:rFonts w:hint="eastAsia" w:ascii="宋体" w:hAnsi="宋体" w:cs="宋体"/>
          <w:color w:val="000000"/>
          <w:szCs w:val="24"/>
          <w:u w:val="single"/>
          <w:lang w:val="en-US" w:eastAsia="zh-CN"/>
        </w:rPr>
        <w:t>XXX</w:t>
      </w:r>
      <w:r>
        <w:rPr>
          <w:rFonts w:hint="eastAsia" w:ascii="宋体" w:hAnsi="宋体" w:cs="宋体"/>
          <w:color w:val="000000"/>
          <w:szCs w:val="24"/>
        </w:rPr>
        <w:t>元，税率</w:t>
      </w:r>
      <w:r>
        <w:rPr>
          <w:rFonts w:hint="eastAsia" w:ascii="宋体" w:hAnsi="宋体" w:cs="宋体"/>
          <w:szCs w:val="24"/>
          <w:lang w:val="en-US" w:eastAsia="zh-CN"/>
        </w:rPr>
        <w:t>X</w:t>
      </w:r>
      <w:r>
        <w:rPr>
          <w:rFonts w:hint="eastAsia" w:ascii="宋体" w:hAnsi="宋体" w:cs="宋体"/>
          <w:szCs w:val="24"/>
          <w:lang w:eastAsia="zh-Hans"/>
        </w:rPr>
        <w:t>%）</w:t>
      </w:r>
      <w:r>
        <w:rPr>
          <w:rFonts w:hint="eastAsia" w:ascii="宋体" w:hAnsi="宋体" w:cs="宋体"/>
          <w:szCs w:val="24"/>
        </w:rPr>
        <w:t>。该总额是固定包干的，甲方不再向乙方支付其它任何费用。约定税率波动导致的合同价变化按如下方式处理：如税率上调，含税价为不变价，税率波动风险由</w:t>
      </w:r>
      <w:r>
        <w:rPr>
          <w:rFonts w:hint="eastAsia" w:ascii="宋体" w:hAnsi="宋体" w:cs="宋体"/>
          <w:szCs w:val="24"/>
          <w:lang w:eastAsia="zh-Hans"/>
        </w:rPr>
        <w:t>乙方</w:t>
      </w:r>
      <w:r>
        <w:rPr>
          <w:rFonts w:hint="eastAsia" w:ascii="宋体" w:hAnsi="宋体" w:cs="宋体"/>
          <w:szCs w:val="24"/>
        </w:rPr>
        <w:t>承担；如税率下调，不含税价为不变价，税金减少的利益归于</w:t>
      </w:r>
      <w:r>
        <w:rPr>
          <w:rFonts w:hint="eastAsia" w:ascii="宋体" w:hAnsi="宋体" w:cs="宋体"/>
          <w:szCs w:val="24"/>
          <w:lang w:eastAsia="zh-Hans"/>
        </w:rPr>
        <w:t>甲方</w:t>
      </w:r>
      <w:r>
        <w:rPr>
          <w:rFonts w:hint="eastAsia" w:ascii="宋体" w:hAnsi="宋体" w:cs="宋体"/>
          <w:szCs w:val="24"/>
        </w:rPr>
        <w:t>。</w:t>
      </w:r>
    </w:p>
    <w:p w14:paraId="32D056CE">
      <w:pPr>
        <w:spacing w:before="163" w:beforeLines="50" w:after="0" w:line="400" w:lineRule="atLeast"/>
        <w:ind w:firstLine="420" w:firstLineChars="200"/>
        <w:rPr>
          <w:rFonts w:hint="eastAsia" w:ascii="宋体" w:hAnsi="宋体" w:cs="宋体"/>
          <w:szCs w:val="24"/>
        </w:rPr>
      </w:pPr>
      <w:r>
        <w:rPr>
          <w:rFonts w:hint="eastAsia" w:ascii="宋体" w:hAnsi="宋体" w:cs="宋体"/>
          <w:szCs w:val="24"/>
          <w:lang w:val="en-US" w:eastAsia="zh-CN"/>
        </w:rPr>
        <w:t>5</w:t>
      </w:r>
      <w:r>
        <w:rPr>
          <w:rFonts w:hint="eastAsia" w:ascii="宋体" w:hAnsi="宋体" w:cs="宋体"/>
          <w:szCs w:val="24"/>
        </w:rPr>
        <w:t>.2 甲方按以下方式及条件向乙方支付本合同报酬：</w:t>
      </w:r>
    </w:p>
    <w:p w14:paraId="12BD9B54">
      <w:pPr>
        <w:spacing w:before="163" w:beforeLines="50" w:after="0" w:line="400" w:lineRule="atLeast"/>
        <w:ind w:firstLine="420" w:firstLineChars="200"/>
        <w:rPr>
          <w:rFonts w:hint="default" w:ascii="宋体" w:hAnsi="宋体" w:cs="宋体"/>
          <w:szCs w:val="24"/>
          <w:lang w:val="en-US" w:eastAsia="zh-CN"/>
        </w:rPr>
      </w:pPr>
      <w:r>
        <w:rPr>
          <w:rFonts w:hint="eastAsia" w:ascii="宋体" w:hAnsi="宋体" w:cs="宋体"/>
          <w:szCs w:val="24"/>
          <w:highlight w:val="none"/>
          <w:lang w:val="en-US" w:eastAsia="zh-CN"/>
        </w:rPr>
        <w:t>5</w:t>
      </w:r>
      <w:r>
        <w:rPr>
          <w:rFonts w:hint="eastAsia" w:ascii="宋体" w:hAnsi="宋体" w:cs="宋体"/>
          <w:szCs w:val="24"/>
          <w:highlight w:val="none"/>
        </w:rPr>
        <w:t>.2.1</w:t>
      </w:r>
      <w:r>
        <w:rPr>
          <w:rFonts w:hint="eastAsia" w:ascii="宋体" w:hAnsi="宋体" w:cs="宋体"/>
          <w:szCs w:val="24"/>
          <w:lang w:eastAsia="zh-Hans"/>
        </w:rPr>
        <w:t>在双方签订合同后，乙方向甲方开具税率为</w:t>
      </w:r>
      <w:r>
        <w:rPr>
          <w:rFonts w:hint="eastAsia" w:ascii="宋体" w:hAnsi="宋体" w:cs="宋体"/>
          <w:szCs w:val="24"/>
          <w:lang w:val="en-US" w:eastAsia="zh-CN"/>
        </w:rPr>
        <w:t>xx</w:t>
      </w:r>
      <w:r>
        <w:rPr>
          <w:rFonts w:hint="eastAsia" w:ascii="宋体" w:hAnsi="宋体" w:cs="宋体"/>
          <w:szCs w:val="24"/>
          <w:lang w:eastAsia="zh-Hans"/>
        </w:rPr>
        <w:t>%的增值税专用发票。甲方收到发票后1</w:t>
      </w:r>
      <w:r>
        <w:rPr>
          <w:rFonts w:hint="eastAsia" w:ascii="宋体" w:hAnsi="宋体" w:cs="宋体"/>
          <w:szCs w:val="24"/>
          <w:lang w:val="en-US" w:eastAsia="zh-CN"/>
        </w:rPr>
        <w:t>5</w:t>
      </w:r>
      <w:r>
        <w:rPr>
          <w:rFonts w:hint="eastAsia" w:ascii="宋体" w:hAnsi="宋体" w:cs="宋体"/>
          <w:szCs w:val="24"/>
          <w:lang w:eastAsia="zh-Hans"/>
        </w:rPr>
        <w:t>个工作日内，向乙方转账支付合同总金额的100％，即¥</w:t>
      </w:r>
      <w:r>
        <w:rPr>
          <w:rFonts w:hint="eastAsia" w:ascii="宋体" w:hAnsi="宋体" w:cs="宋体"/>
          <w:szCs w:val="24"/>
          <w:lang w:val="en-US" w:eastAsia="zh-CN"/>
        </w:rPr>
        <w:t>XXX元</w:t>
      </w:r>
      <w:r>
        <w:rPr>
          <w:rFonts w:hint="eastAsia" w:ascii="宋体" w:hAnsi="宋体" w:cs="宋体"/>
          <w:szCs w:val="24"/>
          <w:lang w:eastAsia="zh-Hans"/>
        </w:rPr>
        <w:t>，大写：人民币</w:t>
      </w:r>
      <w:r>
        <w:rPr>
          <w:rFonts w:hint="eastAsia" w:ascii="宋体" w:hAnsi="宋体" w:cs="宋体"/>
          <w:szCs w:val="24"/>
          <w:lang w:val="en-US" w:eastAsia="zh-CN"/>
        </w:rPr>
        <w:t>XXX</w:t>
      </w:r>
      <w:r>
        <w:rPr>
          <w:rFonts w:hint="eastAsia" w:ascii="宋体" w:hAnsi="宋体" w:cs="宋体"/>
          <w:szCs w:val="24"/>
          <w:lang w:eastAsia="zh-Hans"/>
        </w:rPr>
        <w:t>元整。甲方未按本合同规定如期如数付款，每逾期一天按合同总金额的0.1%计算支付违约金，不足一天按一天计算。</w:t>
      </w:r>
    </w:p>
    <w:p w14:paraId="3C214CB7">
      <w:pPr>
        <w:spacing w:before="163"/>
        <w:ind w:firstLine="420" w:firstLineChars="200"/>
        <w:rPr>
          <w:rFonts w:hint="eastAsia" w:ascii="宋体" w:hAnsi="宋体" w:eastAsia="宋体" w:cs="宋体"/>
          <w:b/>
          <w:bCs/>
          <w:kern w:val="0"/>
          <w:sz w:val="24"/>
          <w:szCs w:val="24"/>
        </w:rPr>
      </w:pP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.2.</w:t>
      </w:r>
      <w:r>
        <w:rPr>
          <w:rFonts w:ascii="宋体" w:hAnsi="宋体" w:cs="宋体"/>
          <w:color w:val="000000"/>
          <w:szCs w:val="24"/>
          <w:highlight w:val="none"/>
        </w:rPr>
        <w:t>2</w:t>
      </w:r>
      <w:r>
        <w:rPr>
          <w:rFonts w:hint="eastAsia" w:ascii="宋体" w:hAnsi="宋体" w:cs="宋体"/>
          <w:color w:val="000000"/>
          <w:szCs w:val="24"/>
          <w:highlight w:val="none"/>
        </w:rPr>
        <w:t xml:space="preserve"> </w:t>
      </w:r>
      <w:r>
        <w:rPr>
          <w:rFonts w:hint="eastAsia" w:ascii="宋体" w:hAnsi="宋体" w:cs="宋体"/>
          <w:szCs w:val="24"/>
          <w:highlight w:val="none"/>
        </w:rPr>
        <w:t>甲方向乙方支付上述款项前，乙方应当事先向甲方提供甲方认可的税务机关正规发票；否则，甲方有权拒绝支付上述款项，同时，不承担任何法律责任。</w:t>
      </w:r>
    </w:p>
    <w:p w14:paraId="7544A677">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bookmarkStart w:id="17" w:name="_Toc8499"/>
      <w:r>
        <w:rPr>
          <w:rFonts w:hint="eastAsia" w:ascii="宋体" w:hAnsi="宋体" w:cs="宋体"/>
          <w:b/>
          <w:bCs/>
          <w:kern w:val="0"/>
          <w:szCs w:val="24"/>
        </w:rPr>
        <w:t>6.权利保证</w:t>
      </w:r>
    </w:p>
    <w:p w14:paraId="76DFAD3A">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6.1 甲方保证其按本合同第2条交付乙方的技术背景资料、原始数据未侵犯他人的知识产权。</w:t>
      </w:r>
    </w:p>
    <w:p w14:paraId="50A8C0AA">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6.2 乙方保证以自已的技术服务能力、经验独立完成本合同义务，交付甲方的服务成果未侵犯他人的知识产权。</w:t>
      </w:r>
    </w:p>
    <w:p w14:paraId="1B691246">
      <w:pPr>
        <w:spacing w:before="163" w:beforeLines="50" w:after="0" w:line="400" w:lineRule="atLeast"/>
        <w:ind w:firstLine="420" w:firstLineChars="200"/>
        <w:rPr>
          <w:rFonts w:hint="eastAsia"/>
        </w:rPr>
      </w:pPr>
      <w:r>
        <w:rPr>
          <w:rFonts w:hint="eastAsia" w:ascii="宋体" w:hAnsi="宋体" w:cs="宋体"/>
          <w:szCs w:val="24"/>
        </w:rPr>
        <w:t xml:space="preserve">6.3 甲方因使用乙方交付的服务成果而被他人指控侵权，乙方应当负责处理侵权指控并承担由此产生的所有赔偿损失的责任。甲方自行处理上述纠纷的,乙方同样承担由此产生的所有赔偿责任及处理纠纷产生的维权费用。 </w:t>
      </w:r>
    </w:p>
    <w:p w14:paraId="70DE41CD">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 xml:space="preserve">7.技术服务成果知识产权的归属  </w:t>
      </w:r>
    </w:p>
    <w:p w14:paraId="0A460EDC">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在本合同中，乙方受甲方委托并使用甲方支付的合同报酬和提供的技术背景资料、原始数据、协作事项所完成的技术服务成果知识产权的归属：</w:t>
      </w:r>
    </w:p>
    <w:p w14:paraId="4B91DAB6">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7.1完成的发明创造，专利申请权由甲方享有。在专利权被授予后的法定期间，经甲方书面同意，乙方有权免费使用该专利技术（但向他人转让或许可他人使用除外），乙方使用该专利技术所得利益归甲方享有。</w:t>
      </w:r>
    </w:p>
    <w:p w14:paraId="78B0810D">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7.2所完成的软件著作权由甲方享有。经甲方书面同意，乙方有权免费使用该软件技术（但向他人转让或许可他人使用除外），乙方使用该软件技术所得利益归甲方享有。</w:t>
      </w:r>
    </w:p>
    <w:p w14:paraId="40293731">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7.3完成的非专利技术成果，由甲方享有。经甲方书面同意，乙方有权免费使用该非专利技术成果（但向他人转让或许可他人使用除外），乙方使用该非专利技术成果所得利益归甲方享有。</w:t>
      </w:r>
    </w:p>
    <w:p w14:paraId="44C6F208">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7.4甲方向他人转让发明创造专利申请权或专利专有权、软件著作权时，乙方不享有优先受让权。</w:t>
      </w:r>
    </w:p>
    <w:p w14:paraId="02A33DE9">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7.5乙方完成技术咨询成果的个人有在技术服务成果文件上写明自已是技术服务成果完成者的权利和取得荣誉证书、奖励的权利。</w:t>
      </w:r>
    </w:p>
    <w:p w14:paraId="02930341">
      <w:pPr>
        <w:spacing w:before="163" w:beforeLines="50" w:after="0" w:line="400" w:lineRule="atLeast"/>
        <w:ind w:firstLine="420" w:firstLineChars="200"/>
        <w:rPr>
          <w:rFonts w:hint="eastAsia"/>
        </w:rPr>
      </w:pPr>
      <w:r>
        <w:rPr>
          <w:rFonts w:hint="eastAsia" w:ascii="宋体" w:hAnsi="宋体" w:cs="宋体"/>
          <w:szCs w:val="24"/>
        </w:rPr>
        <w:t>7.6 甲方在技术服务成果基础上后续改进的技术成果的知识产权由甲方享有。</w:t>
      </w:r>
    </w:p>
    <w:p w14:paraId="1C9EA1B9">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8.保密</w:t>
      </w:r>
    </w:p>
    <w:p w14:paraId="1750B8E7">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8.1在本合同签订前、履行中及终止后，接收方对披露方提供的资料、信息（包括但不限于商业秘密、技术秘密、内部管理资料等）负严格的保密责任。接收方违反约定导致披露方遭受损失或不利影响的应承担违约责任。</w:t>
      </w:r>
    </w:p>
    <w:p w14:paraId="4127724D">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8.2未经披露方书面同意，接收方不得将上述资料及信息在任何时间以任何方式披露给任何第三人。也不得将上述资料及信息用于本合同以外的目的。</w:t>
      </w:r>
    </w:p>
    <w:p w14:paraId="4BDC2D24">
      <w:pPr>
        <w:spacing w:before="163" w:beforeLines="50" w:after="0" w:line="400" w:lineRule="atLeast"/>
        <w:ind w:firstLine="420" w:firstLineChars="200"/>
        <w:rPr>
          <w:rFonts w:hint="eastAsia"/>
        </w:rPr>
      </w:pPr>
      <w:r>
        <w:rPr>
          <w:rFonts w:hint="eastAsia" w:ascii="宋体" w:hAnsi="宋体" w:cs="宋体"/>
          <w:szCs w:val="24"/>
        </w:rPr>
        <w:t>8.3保密条款具有独立性，不受本合同的终止或解除的影响。</w:t>
      </w:r>
    </w:p>
    <w:p w14:paraId="6EB0413F">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9.违约责任处理</w:t>
      </w:r>
    </w:p>
    <w:p w14:paraId="46C8BC33">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9.1 乙方的违约责任</w:t>
      </w:r>
    </w:p>
    <w:p w14:paraId="3E94B03D">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9.1.1 未按本合同约定期限交付技术服务成果，应向甲方支付迟交违约金。违约金计算方法为每逾期</w:t>
      </w:r>
      <w:r>
        <w:rPr>
          <w:rFonts w:hint="eastAsia" w:ascii="宋体" w:hAnsi="宋体" w:cs="宋体"/>
          <w:szCs w:val="24"/>
          <w:lang w:eastAsia="zh-Hans"/>
        </w:rPr>
        <w:t>一日</w:t>
      </w:r>
      <w:r>
        <w:rPr>
          <w:rFonts w:hint="eastAsia" w:ascii="宋体" w:hAnsi="宋体" w:cs="宋体"/>
          <w:szCs w:val="24"/>
        </w:rPr>
        <w:t>，应支付本合同价款总额</w:t>
      </w:r>
      <w:r>
        <w:rPr>
          <w:rFonts w:hint="eastAsia" w:ascii="宋体" w:hAnsi="宋体" w:cs="宋体"/>
          <w:szCs w:val="24"/>
          <w:u w:val="single"/>
        </w:rPr>
        <w:t>1</w:t>
      </w:r>
      <w:r>
        <w:rPr>
          <w:rFonts w:hint="eastAsia" w:ascii="宋体" w:hAnsi="宋体" w:cs="宋体"/>
          <w:szCs w:val="24"/>
        </w:rPr>
        <w:t>%的违约金。若逾期30日仍未交付，甲方享有解除本合同的选择权，</w:t>
      </w:r>
      <w:r>
        <w:rPr>
          <w:rFonts w:hint="eastAsia" w:ascii="宋体" w:hAnsi="宋体" w:cs="宋体"/>
          <w:szCs w:val="24"/>
          <w:lang w:eastAsia="zh-Hans"/>
        </w:rPr>
        <w:t>乙方应向甲方支付合同总价款</w:t>
      </w:r>
      <w:r>
        <w:rPr>
          <w:rFonts w:hint="eastAsia" w:ascii="宋体" w:hAnsi="宋体" w:cs="宋体"/>
          <w:szCs w:val="24"/>
          <w:u w:val="single"/>
        </w:rPr>
        <w:t>10</w:t>
      </w:r>
      <w:r>
        <w:rPr>
          <w:rFonts w:hint="eastAsia" w:ascii="宋体" w:hAnsi="宋体" w:cs="宋体"/>
          <w:szCs w:val="24"/>
          <w:lang w:eastAsia="zh-Hans"/>
        </w:rPr>
        <w:t>%的</w:t>
      </w:r>
      <w:r>
        <w:rPr>
          <w:rFonts w:hint="eastAsia" w:ascii="宋体" w:hAnsi="宋体" w:cs="宋体"/>
          <w:szCs w:val="24"/>
        </w:rPr>
        <w:t>违约金。当本合同被解除时，乙方除应返还甲方已支付的本合同报酬外，当前述违约金不足弥补因解除本合同给甲方造成损失的，乙方应予赔偿，该等损失包括但不限于甲方再委托他人提供技术服务而增加的费用、技术服务成果延迟使用期间误工损失费用，以及甲方为追偿损失发生的诉讼费用、律师费用、差旅费用等。</w:t>
      </w:r>
    </w:p>
    <w:p w14:paraId="2AF3598F">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9.1.2交付的技术服务成果不符合本合同第1条约定，乙方应予以修正。因修正而造成研究开发技术成果逾期交付的，应按本合同向甲方支付违约金；若再逾期</w:t>
      </w:r>
      <w:r>
        <w:rPr>
          <w:rFonts w:hint="eastAsia" w:ascii="宋体" w:hAnsi="宋体" w:cs="宋体"/>
          <w:szCs w:val="24"/>
          <w:u w:val="single"/>
        </w:rPr>
        <w:t>30</w:t>
      </w:r>
      <w:r>
        <w:rPr>
          <w:rFonts w:hint="eastAsia" w:ascii="宋体" w:hAnsi="宋体" w:cs="宋体"/>
          <w:szCs w:val="24"/>
        </w:rPr>
        <w:t>日仍未交付，甲方享有解除本合同的选择权。当本合同被解除时，乙方应按本合同</w:t>
      </w:r>
      <w:r>
        <w:rPr>
          <w:rFonts w:hint="eastAsia" w:ascii="宋体" w:hAnsi="宋体" w:cs="宋体"/>
          <w:szCs w:val="24"/>
          <w:lang w:eastAsia="zh-Hans"/>
        </w:rPr>
        <w:t>承担违约责任</w:t>
      </w:r>
      <w:r>
        <w:rPr>
          <w:rFonts w:hint="eastAsia" w:ascii="宋体" w:hAnsi="宋体" w:cs="宋体"/>
          <w:szCs w:val="24"/>
        </w:rPr>
        <w:t>。</w:t>
      </w:r>
    </w:p>
    <w:p w14:paraId="67E5931E">
      <w:pPr>
        <w:spacing w:before="163" w:beforeLines="50" w:line="400" w:lineRule="exact"/>
        <w:ind w:firstLine="420" w:firstLineChars="200"/>
        <w:rPr>
          <w:rFonts w:hint="eastAsia"/>
        </w:rPr>
      </w:pPr>
      <w:r>
        <w:rPr>
          <w:rFonts w:hint="eastAsia" w:ascii="宋体" w:hAnsi="宋体" w:cs="宋体"/>
          <w:szCs w:val="24"/>
        </w:rPr>
        <w:t>9.1.3技术服务成果经修正后，仍然不符合本合同第1条约定，甲方享有解除本合同的选择权。当本合同被解除时，乙方除应返还甲方已支付的本合同报酬外，</w:t>
      </w:r>
      <w:r>
        <w:rPr>
          <w:rFonts w:hint="eastAsia" w:ascii="宋体" w:hAnsi="宋体" w:cs="宋体"/>
          <w:szCs w:val="24"/>
          <w:lang w:eastAsia="zh-Hans"/>
        </w:rPr>
        <w:t>应向甲方支付合同总价款</w:t>
      </w:r>
      <w:r>
        <w:rPr>
          <w:rFonts w:hint="eastAsia" w:ascii="宋体" w:hAnsi="宋体" w:cs="宋体"/>
          <w:szCs w:val="24"/>
          <w:u w:val="single"/>
        </w:rPr>
        <w:t>10</w:t>
      </w:r>
      <w:r>
        <w:rPr>
          <w:rFonts w:hint="eastAsia" w:ascii="宋体" w:hAnsi="宋体" w:cs="宋体"/>
          <w:szCs w:val="24"/>
        </w:rPr>
        <w:t>%</w:t>
      </w:r>
      <w:r>
        <w:rPr>
          <w:rFonts w:hint="eastAsia" w:ascii="宋体" w:hAnsi="宋体" w:cs="宋体"/>
          <w:szCs w:val="24"/>
          <w:lang w:eastAsia="zh-Hans"/>
        </w:rPr>
        <w:t>的</w:t>
      </w:r>
      <w:r>
        <w:rPr>
          <w:rFonts w:hint="eastAsia" w:ascii="宋体" w:hAnsi="宋体" w:cs="宋体"/>
          <w:szCs w:val="24"/>
        </w:rPr>
        <w:t>违约金。当前述违约金不足弥补因本合同被解除而给甲方造成损失的，乙方应按本合同赔偿甲方损失。</w:t>
      </w:r>
    </w:p>
    <w:p w14:paraId="587F16F7">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10.不可抗力</w:t>
      </w:r>
    </w:p>
    <w:p w14:paraId="34D6EA88">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10.1如果任何一方由于不可抗力延误履行或未能履行合同项下的义务，受阻碍方应在十五（15）天内通过邮件或传真告知对方并随后提供相关事件的详细信息以及可证明延误履行或未能履行合同的全部或一部分的证据，并以特快专递形式将通知的正本邮寄给对方。不可抗力包括但不限于地震、台风、水灾、火灾、战争（经宣战或未经宣战的）、暴动、封锁或者其它不可预见或无法控制且发生及后果无法防止也无法避免的事件。</w:t>
      </w:r>
    </w:p>
    <w:p w14:paraId="6E5434DD">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10.2因受不可抗力影响而不能履行合同的一方将不会被视为违约。如果发生不可抗力，对任何一方可能由于该等未能履行或延误履行所遭受的任何损害、费用增加或损失，对方均不应承担责任。</w:t>
      </w:r>
    </w:p>
    <w:p w14:paraId="0D530705">
      <w:pPr>
        <w:spacing w:before="163" w:beforeLines="50" w:after="0" w:line="400" w:lineRule="atLeast"/>
        <w:ind w:firstLine="420" w:firstLineChars="200"/>
        <w:rPr>
          <w:rFonts w:hint="eastAsia"/>
        </w:rPr>
      </w:pPr>
      <w:r>
        <w:rPr>
          <w:rFonts w:hint="eastAsia" w:ascii="宋体" w:hAnsi="宋体" w:cs="宋体"/>
          <w:szCs w:val="24"/>
        </w:rPr>
        <w:t>10.3当不可抗力事态消除或解除后，受阻碍方应在十五（15）天内通过邮件或传真通知对方，并以特快专递形式将通知的正本邮寄给对方，请求予以确认。在该不可抗力事态消除或解除后，合同双方应尽最大努力继续履行本合同的义务。</w:t>
      </w:r>
    </w:p>
    <w:p w14:paraId="1A59A887">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11.争议处理</w:t>
      </w:r>
    </w:p>
    <w:p w14:paraId="4478A569">
      <w:pPr>
        <w:spacing w:before="163" w:beforeLines="50" w:after="0" w:line="400" w:lineRule="atLeast"/>
        <w:ind w:firstLine="420" w:firstLineChars="200"/>
        <w:rPr>
          <w:rFonts w:hint="eastAsia"/>
        </w:rPr>
      </w:pPr>
      <w:r>
        <w:rPr>
          <w:rFonts w:hint="eastAsia" w:ascii="宋体" w:hAnsi="宋体" w:cs="宋体"/>
          <w:szCs w:val="24"/>
        </w:rPr>
        <w:t>双方因本合同履行及相关事宜发生争议时应协商解决。协商不成时, 任何一方可向甲方所在地有管辖权的人民法院起诉。</w:t>
      </w:r>
    </w:p>
    <w:p w14:paraId="4A101638">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12.通知与送达</w:t>
      </w:r>
    </w:p>
    <w:p w14:paraId="074B6A6B">
      <w:pPr>
        <w:snapToGrid w:val="0"/>
        <w:spacing w:before="163" w:beforeLines="50" w:line="400" w:lineRule="atLeast"/>
        <w:ind w:firstLine="420" w:firstLineChars="200"/>
        <w:rPr>
          <w:rFonts w:hint="eastAsia" w:ascii="宋体" w:hAnsi="宋体" w:cs="宋体"/>
          <w:szCs w:val="24"/>
        </w:rPr>
      </w:pPr>
      <w:r>
        <w:rPr>
          <w:rFonts w:hint="eastAsia" w:ascii="宋体" w:hAnsi="宋体" w:cs="宋体"/>
          <w:szCs w:val="24"/>
        </w:rPr>
        <w:t>12.1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752FFC02">
      <w:pPr>
        <w:snapToGrid w:val="0"/>
        <w:spacing w:before="163" w:beforeLines="50" w:line="400" w:lineRule="atLeast"/>
        <w:ind w:firstLine="210" w:firstLineChars="100"/>
        <w:rPr>
          <w:rFonts w:hint="eastAsia" w:ascii="宋体" w:hAnsi="宋体" w:cs="宋体"/>
          <w:color w:val="0000FF"/>
          <w:szCs w:val="24"/>
        </w:rPr>
      </w:pPr>
      <w:r>
        <w:rPr>
          <w:rFonts w:hint="eastAsia" w:ascii="宋体" w:hAnsi="宋体" w:cs="宋体"/>
          <w:szCs w:val="24"/>
        </w:rPr>
        <w:sym w:font="Wingdings 2" w:char="00A3"/>
      </w:r>
      <w:r>
        <w:rPr>
          <w:rFonts w:hint="eastAsia" w:ascii="宋体" w:hAnsi="宋体" w:cs="宋体"/>
          <w:szCs w:val="24"/>
        </w:rPr>
        <w:t>对本合同涉及的双方分歧、索赔与其他争议事项的书面通知或文件，除按前述方式向对方合同联系人送达外，双方确认还须将相关通知或文件发送至以下邮箱：</w:t>
      </w:r>
    </w:p>
    <w:p w14:paraId="5131C665">
      <w:pPr>
        <w:snapToGrid w:val="0"/>
        <w:spacing w:before="163" w:beforeLines="50" w:line="400" w:lineRule="atLeast"/>
        <w:ind w:firstLine="420" w:firstLineChars="200"/>
        <w:rPr>
          <w:rFonts w:ascii="宋体" w:hAnsi="宋体" w:cs="宋体"/>
          <w:color w:val="auto"/>
          <w:szCs w:val="24"/>
          <w:highlight w:val="none"/>
          <w:u w:val="singl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"mailto:卖方邮箱【xushuang.sf@crrcgc.cc】"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甲方邮箱：</w:t>
      </w:r>
      <w:r>
        <w:rPr>
          <w:rFonts w:hint="eastAsia" w:ascii="宋体" w:hAnsi="宋体" w:cs="宋体"/>
          <w:color w:val="auto"/>
          <w:szCs w:val="24"/>
          <w:highlight w:val="none"/>
        </w:rPr>
        <w:fldChar w:fldCharType="end"/>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xxxx</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，联系人：</w:t>
      </w:r>
      <w:r>
        <w:rPr>
          <w:rFonts w:hint="eastAsia" w:ascii="宋体" w:hAnsi="宋体" w:cs="宋体"/>
          <w:color w:val="auto"/>
          <w:szCs w:val="24"/>
          <w:highlight w:val="none"/>
          <w:u w:val="single"/>
          <w:lang w:val="en-US" w:eastAsia="zh-CN"/>
        </w:rPr>
        <w:t>xxx</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，联系电话：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xxxx</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bookmarkEnd w:id="17"/>
    <w:p w14:paraId="2111F6B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w:t>
      </w:r>
      <w:r>
        <w:rPr>
          <w:rFonts w:hint="eastAsia" w:ascii="宋体" w:hAnsi="宋体" w:eastAsia="宋体" w:cs="宋体"/>
          <w:sz w:val="24"/>
          <w:szCs w:val="24"/>
          <w:u w:val="none"/>
          <w:lang w:eastAsia="zh-CN"/>
        </w:rPr>
        <w:t>邮箱：</w:t>
      </w:r>
      <w:r>
        <w:rPr>
          <w:rFonts w:hint="eastAsia" w:ascii="宋体" w:hAnsi="宋体" w:cs="宋体"/>
          <w:i w:val="0"/>
          <w:iCs w:val="0"/>
          <w:caps w:val="0"/>
          <w:color w:val="auto"/>
          <w:spacing w:val="0"/>
          <w:sz w:val="24"/>
          <w:szCs w:val="24"/>
          <w:u w:val="single"/>
          <w:shd w:val="clear" w:color="auto" w:fill="FFFFFF"/>
          <w:lang w:val="en-US" w:eastAsia="zh-CN"/>
        </w:rPr>
        <w:t>xxxx</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4"/>
          <w:szCs w:val="24"/>
          <w:u w:val="none"/>
          <w:lang w:eastAsia="zh-CN"/>
        </w:rPr>
        <w:t>，联系人：</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xxx</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xxxx</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75CC91F">
      <w:pPr>
        <w:snapToGrid w:val="0"/>
        <w:spacing w:before="163" w:beforeLines="50" w:line="400" w:lineRule="atLeast"/>
        <w:ind w:firstLine="420" w:firstLineChars="200"/>
        <w:rPr>
          <w:rFonts w:hint="eastAsia"/>
        </w:rPr>
      </w:pPr>
      <w:r>
        <w:rPr>
          <w:rFonts w:hint="eastAsia" w:ascii="宋体" w:hAnsi="宋体" w:cs="宋体"/>
          <w:szCs w:val="24"/>
        </w:rPr>
        <w:t>12.2除非通知中另有规定，接收方均应在收到通知后15个工作日内书面回复通知方，未答复将视为该通知已被确认并接受，通知方可按通知处理相关事宜。</w:t>
      </w:r>
    </w:p>
    <w:p w14:paraId="4C6054D0">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13.本合同的变更</w:t>
      </w:r>
    </w:p>
    <w:p w14:paraId="42AED8B0">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13.1在技术服务成果交付以前,甲方可向乙方发出本合同内容变更的书面通知。因本合同变更而引起乙方履行本合同义务费用或成果交付时间发生实质性变化，乙方应在收到甲方变更通知之日起日起</w:t>
      </w:r>
      <w:r>
        <w:rPr>
          <w:rFonts w:hint="eastAsia" w:ascii="宋体" w:hAnsi="宋体" w:cs="宋体"/>
          <w:szCs w:val="24"/>
          <w:u w:val="single"/>
        </w:rPr>
        <w:t>15</w:t>
      </w:r>
      <w:r>
        <w:rPr>
          <w:rFonts w:hint="eastAsia" w:ascii="宋体" w:hAnsi="宋体" w:cs="宋体"/>
          <w:szCs w:val="24"/>
        </w:rPr>
        <w:t>个工作日内提出本合同报酬或成果交付时间调整的意见，经双方协商一致订立补充协议予以确定。但乙方逾期未书面回复的,本合同变更通知视为乙方已接受，本合同报酬或成果交付时间不予调整。</w:t>
      </w:r>
    </w:p>
    <w:p w14:paraId="45BDC3B9">
      <w:pPr>
        <w:spacing w:before="163" w:beforeLines="50" w:after="0" w:line="400" w:lineRule="atLeast"/>
        <w:ind w:firstLine="420" w:firstLineChars="200"/>
        <w:rPr>
          <w:rFonts w:hint="eastAsia"/>
        </w:rPr>
      </w:pPr>
      <w:r>
        <w:rPr>
          <w:rFonts w:hint="eastAsia" w:ascii="宋体" w:hAnsi="宋体" w:cs="宋体"/>
          <w:szCs w:val="24"/>
        </w:rPr>
        <w:t>13.2 若本合同变更并未引起乙方履行本合同义务费用或成果交付时间发生实质性变化，本合同报酬或成果交付时间不予调整，但乙方仍应书面确认。</w:t>
      </w:r>
    </w:p>
    <w:p w14:paraId="7A4C23E7">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14.本合同义务的转让</w:t>
      </w:r>
    </w:p>
    <w:p w14:paraId="27CBFA29">
      <w:pPr>
        <w:spacing w:before="163" w:beforeLines="50" w:after="0" w:line="400" w:lineRule="atLeast"/>
        <w:ind w:firstLine="420" w:firstLineChars="200"/>
        <w:rPr>
          <w:rFonts w:hint="eastAsia"/>
        </w:rPr>
      </w:pPr>
      <w:r>
        <w:rPr>
          <w:rFonts w:hint="eastAsia" w:ascii="宋体" w:hAnsi="宋体" w:cs="宋体"/>
          <w:szCs w:val="24"/>
        </w:rPr>
        <w:t>除甲方事先书面同意，乙方不得部分或全部转让本合同项下应履行的义务。</w:t>
      </w:r>
    </w:p>
    <w:p w14:paraId="7059C683">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15.本合同的终止与解除</w:t>
      </w:r>
    </w:p>
    <w:p w14:paraId="2A6FD6E3">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15.1本合同因双方均履行完毕义务而终止。</w:t>
      </w:r>
    </w:p>
    <w:p w14:paraId="71A1A9C3">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15.2本合同因双方协商一致而解除。</w:t>
      </w:r>
    </w:p>
    <w:p w14:paraId="3060C660">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15.3乙方在本合同约定期间不履行合同根本义务，在收到甲方书面催告通知</w:t>
      </w:r>
      <w:r>
        <w:rPr>
          <w:rFonts w:hint="eastAsia" w:ascii="宋体" w:hAnsi="宋体" w:cs="宋体"/>
          <w:szCs w:val="24"/>
          <w:u w:val="single"/>
        </w:rPr>
        <w:t>20</w:t>
      </w:r>
      <w:r>
        <w:rPr>
          <w:rFonts w:hint="eastAsia" w:ascii="宋体" w:hAnsi="宋体" w:cs="宋体"/>
          <w:szCs w:val="24"/>
        </w:rPr>
        <w:t xml:space="preserve">日内仍未采取补救措施时，甲方有权书面通知违约方解除本合同，本合同自违约方收到甲方通知之日起解除。 </w:t>
      </w:r>
    </w:p>
    <w:p w14:paraId="5215B148">
      <w:pPr>
        <w:spacing w:before="163" w:beforeLines="50" w:after="0" w:line="400" w:lineRule="atLeast"/>
        <w:ind w:firstLine="420" w:firstLineChars="200"/>
        <w:rPr>
          <w:rFonts w:hint="eastAsia" w:ascii="宋体" w:hAnsi="宋体" w:cs="宋体"/>
          <w:szCs w:val="24"/>
        </w:rPr>
      </w:pPr>
      <w:r>
        <w:rPr>
          <w:rFonts w:hint="eastAsia" w:ascii="宋体" w:hAnsi="宋体" w:cs="宋体"/>
          <w:szCs w:val="24"/>
        </w:rPr>
        <w:t>15.</w:t>
      </w:r>
      <w:r>
        <w:rPr>
          <w:rFonts w:ascii="宋体" w:hAnsi="宋体" w:cs="宋体"/>
          <w:szCs w:val="24"/>
        </w:rPr>
        <w:t>4</w:t>
      </w:r>
      <w:r>
        <w:rPr>
          <w:rFonts w:hint="eastAsia" w:ascii="宋体" w:hAnsi="宋体" w:cs="宋体"/>
          <w:szCs w:val="24"/>
        </w:rPr>
        <w:t>本合同解除不影响甲方因本合同解除而受到损失的索赔权。</w:t>
      </w:r>
    </w:p>
    <w:p w14:paraId="30A07691">
      <w:pPr>
        <w:spacing w:before="163" w:beforeLines="50" w:line="400" w:lineRule="exact"/>
        <w:ind w:firstLine="0"/>
        <w:outlineLvl w:val="0"/>
        <w:rPr>
          <w:rFonts w:hint="eastAsia" w:ascii="宋体" w:hAnsi="宋体" w:cs="宋体"/>
          <w:b/>
          <w:szCs w:val="24"/>
        </w:rPr>
      </w:pPr>
      <w:r>
        <w:rPr>
          <w:rFonts w:hint="eastAsia" w:ascii="宋体" w:hAnsi="宋体" w:cs="宋体"/>
          <w:b/>
          <w:szCs w:val="24"/>
        </w:rPr>
        <w:t>16.合规承诺</w:t>
      </w:r>
    </w:p>
    <w:p w14:paraId="23B2A617">
      <w:pPr>
        <w:spacing w:before="163" w:beforeLines="50" w:line="400" w:lineRule="exact"/>
        <w:outlineLvl w:val="0"/>
        <w:rPr>
          <w:rFonts w:hint="eastAsia" w:ascii="宋体" w:hAnsi="宋体" w:cs="宋体"/>
          <w:szCs w:val="24"/>
        </w:rPr>
      </w:pPr>
      <w:r>
        <w:rPr>
          <w:rFonts w:hint="eastAsia" w:ascii="宋体" w:hAnsi="宋体" w:cs="宋体"/>
          <w:szCs w:val="24"/>
        </w:rPr>
        <w:t>16.1双方均不得向对方或对方经办人或其他相关人员索要、收受、提供、给予合同约定外的任何利益，包括但不限于明扣、暗扣、现金、购物卡、实物、有价证券、旅游或其他非物质性利益等。</w:t>
      </w:r>
    </w:p>
    <w:p w14:paraId="2C2DF89F">
      <w:pPr>
        <w:spacing w:before="163" w:beforeLines="50" w:line="400" w:lineRule="exact"/>
        <w:ind w:firstLine="420" w:firstLineChars="200"/>
        <w:outlineLvl w:val="0"/>
        <w:rPr>
          <w:rFonts w:hint="eastAsia" w:ascii="宋体" w:hAnsi="宋体" w:cs="宋体"/>
          <w:b/>
          <w:szCs w:val="24"/>
        </w:rPr>
      </w:pPr>
      <w:r>
        <w:rPr>
          <w:rFonts w:hint="eastAsia" w:ascii="宋体" w:hAnsi="宋体" w:cs="宋体"/>
          <w:szCs w:val="24"/>
        </w:rPr>
        <w:t>16.2双方保证已经就以上承诺内容与双方的管理层、董事、一般管理人员、经办人或其他相关人员进行了充分的沟通，并确保上述人员遵守本承诺条款的要求。</w:t>
      </w:r>
    </w:p>
    <w:p w14:paraId="58458CEA">
      <w:pPr>
        <w:spacing w:before="163" w:beforeLines="50" w:line="400" w:lineRule="exact"/>
        <w:ind w:firstLine="0"/>
        <w:outlineLvl w:val="0"/>
        <w:rPr>
          <w:rFonts w:hint="eastAsia" w:ascii="宋体" w:hAnsi="宋体" w:cs="宋体"/>
          <w:b/>
          <w:bCs/>
          <w:szCs w:val="24"/>
        </w:rPr>
      </w:pPr>
      <w:r>
        <w:rPr>
          <w:rFonts w:hint="eastAsia" w:ascii="宋体" w:hAnsi="宋体" w:cs="宋体"/>
          <w:b/>
          <w:bCs/>
          <w:szCs w:val="24"/>
        </w:rPr>
        <w:t>17.品牌保护</w:t>
      </w:r>
    </w:p>
    <w:p w14:paraId="78DCB3C1">
      <w:pPr>
        <w:spacing w:before="163" w:beforeLines="50" w:line="400" w:lineRule="exact"/>
        <w:ind w:firstLine="420" w:firstLineChars="200"/>
        <w:outlineLvl w:val="0"/>
        <w:rPr>
          <w:rFonts w:hint="eastAsia"/>
        </w:rPr>
      </w:pPr>
      <w:r>
        <w:rPr>
          <w:rFonts w:hint="eastAsia" w:ascii="宋体" w:hAnsi="宋体" w:cs="宋体"/>
          <w:szCs w:val="24"/>
        </w:rPr>
        <w:t>17.1双方不得擅自将对方的品牌（包括但不限于商标、字号、标识等）内容用于广告宣传或业务推销等活动；若需使用，需经对方书面授权，并事先将宣传样本等有关内容提交对方确认。否则，守约方有权解除合同，并要求侵权方立即停止一切宣传等活动，积极消除对守约方造成的不良影响，向守约方一次性支付合同总额10%的违约金，该违约金不足以弥补守约方损失的，侵权方还应另外予以赔偿。同时，侵权方应对其自身行为承担全部法律责任。</w:t>
      </w:r>
    </w:p>
    <w:p w14:paraId="2701564F">
      <w:pPr>
        <w:pStyle w:val="5"/>
        <w:autoSpaceDE w:val="0"/>
        <w:autoSpaceDN w:val="0"/>
        <w:spacing w:before="163" w:beforeLines="50" w:after="0" w:line="400" w:lineRule="atLeast"/>
        <w:ind w:left="0" w:leftChars="0" w:firstLine="0"/>
        <w:jc w:val="left"/>
        <w:outlineLvl w:val="0"/>
        <w:rPr>
          <w:rFonts w:hint="eastAsia" w:ascii="宋体" w:hAnsi="宋体" w:cs="宋体"/>
          <w:b/>
          <w:bCs/>
          <w:kern w:val="0"/>
          <w:szCs w:val="24"/>
        </w:rPr>
      </w:pPr>
      <w:r>
        <w:rPr>
          <w:rFonts w:hint="eastAsia" w:ascii="宋体" w:hAnsi="宋体" w:cs="宋体"/>
          <w:b/>
          <w:bCs/>
          <w:kern w:val="0"/>
          <w:szCs w:val="24"/>
        </w:rPr>
        <w:t>18.本合同的生效条件及其他</w:t>
      </w:r>
    </w:p>
    <w:p w14:paraId="4E4650F1">
      <w:pPr>
        <w:spacing w:before="163" w:beforeLines="50" w:line="400" w:lineRule="exact"/>
        <w:ind w:firstLine="420" w:firstLineChars="200"/>
        <w:outlineLvl w:val="0"/>
        <w:rPr>
          <w:rFonts w:hint="eastAsia" w:ascii="宋体" w:hAnsi="宋体" w:cs="宋体"/>
          <w:szCs w:val="24"/>
        </w:rPr>
      </w:pPr>
      <w:r>
        <w:rPr>
          <w:rFonts w:hint="eastAsia" w:ascii="宋体" w:hAnsi="宋体" w:cs="宋体"/>
          <w:szCs w:val="24"/>
        </w:rPr>
        <w:t>18.1</w:t>
      </w:r>
      <w:r>
        <w:rPr>
          <w:rFonts w:hint="eastAsia" w:ascii="宋体" w:hAnsi="宋体" w:eastAsia="宋体" w:cs="宋体"/>
          <w:sz w:val="24"/>
          <w:szCs w:val="24"/>
        </w:rPr>
        <w:t>本合同自双方代表签字并加盖双方印章之日生效</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双方权利义务履行完毕之日终止</w:t>
      </w:r>
      <w:r>
        <w:rPr>
          <w:rFonts w:hint="eastAsia" w:ascii="宋体" w:hAnsi="宋体" w:eastAsia="宋体" w:cs="宋体"/>
          <w:sz w:val="24"/>
          <w:szCs w:val="24"/>
        </w:rPr>
        <w:t>。</w:t>
      </w:r>
      <w:r>
        <w:rPr>
          <w:rFonts w:hint="eastAsia" w:ascii="宋体" w:hAnsi="宋体" w:cs="宋体"/>
          <w:szCs w:val="24"/>
        </w:rPr>
        <w:t>本合同一式</w:t>
      </w:r>
      <w:r>
        <w:rPr>
          <w:rFonts w:hint="eastAsia" w:ascii="宋体" w:hAnsi="宋体" w:cs="宋体"/>
          <w:szCs w:val="24"/>
          <w:lang w:val="en-US" w:eastAsia="zh-CN"/>
        </w:rPr>
        <w:t>_</w:t>
      </w:r>
      <w:r>
        <w:rPr>
          <w:rFonts w:hint="eastAsia" w:ascii="宋体" w:hAnsi="宋体" w:cs="宋体"/>
          <w:szCs w:val="24"/>
          <w:u w:val="single"/>
          <w:lang w:val="en-US" w:eastAsia="zh-CN"/>
        </w:rPr>
        <w:t>肆</w:t>
      </w:r>
      <w:r>
        <w:rPr>
          <w:rFonts w:hint="eastAsia" w:ascii="宋体" w:hAnsi="宋体" w:cs="宋体"/>
          <w:szCs w:val="24"/>
          <w:lang w:val="en-US" w:eastAsia="zh-CN"/>
        </w:rPr>
        <w:t>_</w:t>
      </w:r>
      <w:r>
        <w:rPr>
          <w:rFonts w:hint="eastAsia" w:ascii="宋体" w:hAnsi="宋体" w:cs="宋体"/>
          <w:szCs w:val="24"/>
        </w:rPr>
        <w:t>份（甲方执</w:t>
      </w:r>
      <w:r>
        <w:rPr>
          <w:rFonts w:hint="eastAsia" w:ascii="宋体" w:hAnsi="宋体" w:cs="宋体"/>
          <w:szCs w:val="24"/>
          <w:lang w:val="en-US" w:eastAsia="zh-CN"/>
        </w:rPr>
        <w:t>_</w:t>
      </w:r>
      <w:r>
        <w:rPr>
          <w:rFonts w:hint="eastAsia" w:ascii="宋体" w:hAnsi="宋体" w:cs="宋体"/>
          <w:szCs w:val="24"/>
          <w:u w:val="single"/>
          <w:lang w:val="en-US" w:eastAsia="zh-CN"/>
        </w:rPr>
        <w:t>叁</w:t>
      </w:r>
      <w:r>
        <w:rPr>
          <w:rFonts w:hint="eastAsia" w:ascii="宋体" w:hAnsi="宋体" w:cs="宋体"/>
          <w:szCs w:val="24"/>
          <w:lang w:val="en-US" w:eastAsia="zh-CN"/>
        </w:rPr>
        <w:t>_</w:t>
      </w:r>
      <w:r>
        <w:rPr>
          <w:rFonts w:hint="eastAsia" w:ascii="宋体" w:hAnsi="宋体" w:cs="宋体"/>
          <w:szCs w:val="24"/>
        </w:rPr>
        <w:t>份，乙方执</w:t>
      </w:r>
      <w:r>
        <w:rPr>
          <w:rFonts w:hint="eastAsia" w:ascii="宋体" w:hAnsi="宋体" w:cs="宋体"/>
          <w:szCs w:val="24"/>
          <w:lang w:val="en-US" w:eastAsia="zh-CN"/>
        </w:rPr>
        <w:t>_</w:t>
      </w:r>
      <w:r>
        <w:rPr>
          <w:rFonts w:hint="eastAsia" w:ascii="宋体" w:hAnsi="宋体" w:cs="宋体"/>
          <w:szCs w:val="24"/>
          <w:u w:val="single"/>
          <w:lang w:val="en-US" w:eastAsia="zh-CN"/>
        </w:rPr>
        <w:t>壹</w:t>
      </w:r>
      <w:r>
        <w:rPr>
          <w:rFonts w:hint="eastAsia" w:ascii="宋体" w:hAnsi="宋体" w:cs="宋体"/>
          <w:szCs w:val="24"/>
          <w:lang w:val="en-US" w:eastAsia="zh-CN"/>
        </w:rPr>
        <w:t>_</w:t>
      </w:r>
      <w:r>
        <w:rPr>
          <w:rFonts w:hint="eastAsia" w:ascii="宋体" w:hAnsi="宋体" w:cs="宋体"/>
          <w:szCs w:val="24"/>
        </w:rPr>
        <w:t>份），具有同等法律效力。</w:t>
      </w:r>
    </w:p>
    <w:p w14:paraId="79DC7D32">
      <w:pPr>
        <w:spacing w:before="163" w:beforeLines="50" w:line="400" w:lineRule="exact"/>
        <w:ind w:firstLine="420" w:firstLineChars="200"/>
        <w:outlineLvl w:val="0"/>
        <w:rPr>
          <w:rFonts w:hint="eastAsia" w:ascii="宋体" w:hAnsi="宋体" w:cs="宋体"/>
          <w:szCs w:val="24"/>
        </w:rPr>
      </w:pPr>
      <w:r>
        <w:rPr>
          <w:rFonts w:hint="eastAsia" w:ascii="宋体" w:hAnsi="宋体" w:cs="宋体"/>
          <w:szCs w:val="24"/>
        </w:rPr>
        <w:t>18.2本合同正文均系打印文字，若出现非打印文字的修改或添加，均须经双方代表签认并加盖双方印章，方被认为有效。</w:t>
      </w:r>
    </w:p>
    <w:p w14:paraId="38366519">
      <w:pPr>
        <w:spacing w:before="163" w:beforeLines="50" w:line="400" w:lineRule="exact"/>
        <w:ind w:firstLine="420" w:firstLineChars="200"/>
        <w:outlineLvl w:val="0"/>
        <w:rPr>
          <w:rFonts w:hint="eastAsia" w:ascii="宋体" w:hAnsi="宋体" w:cs="宋体"/>
          <w:szCs w:val="24"/>
        </w:rPr>
      </w:pPr>
      <w:r>
        <w:rPr>
          <w:rFonts w:hint="eastAsia" w:ascii="宋体" w:hAnsi="宋体" w:cs="宋体"/>
          <w:szCs w:val="24"/>
        </w:rPr>
        <w:t>18.3本合同文本每页均以双方人员进行页签或以双方印章加盖骑缝章的方式进行确认，一方放弃前述确认方式的，视同认可并接受对方的确认，双方若因所执合同文本不同发生争议，则以被对方确认的合同文本为准。</w:t>
      </w:r>
    </w:p>
    <w:p w14:paraId="71F0AAFD">
      <w:pPr>
        <w:pStyle w:val="13"/>
        <w:rPr>
          <w:rFonts w:hint="eastAsia"/>
          <w:lang w:val="en-US" w:eastAsia="zh-CN"/>
        </w:rPr>
      </w:pPr>
    </w:p>
    <w:p w14:paraId="6F76B1BB">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8" w:name="_Toc28773"/>
      <w:bookmarkStart w:id="19" w:name="_Toc4396"/>
      <w:r>
        <w:rPr>
          <w:rFonts w:hint="eastAsia" w:ascii="宋体" w:hAnsi="宋体" w:eastAsia="宋体" w:cs="宋体"/>
          <w:b/>
          <w:sz w:val="24"/>
          <w:szCs w:val="24"/>
          <w:u w:val="none"/>
        </w:rPr>
        <w:t>（以下无正文）</w:t>
      </w:r>
      <w:bookmarkEnd w:id="18"/>
      <w:bookmarkEnd w:id="19"/>
    </w:p>
    <w:tbl>
      <w:tblPr>
        <w:tblStyle w:val="9"/>
        <w:tblW w:w="9266"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14:paraId="7A4B111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7CCE6336">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5478192E">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14:paraId="35828582">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3ECEC29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14:paraId="4658C16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641F35B1">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14:paraId="3246ADE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14:paraId="555F5D41">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14:paraId="6D542321">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14:paraId="3056A18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91" w:hRule="atLeast"/>
          <w:jc w:val="center"/>
        </w:trPr>
        <w:tc>
          <w:tcPr>
            <w:tcW w:w="4740" w:type="dxa"/>
            <w:noWrap w:val="0"/>
            <w:vAlign w:val="center"/>
          </w:tcPr>
          <w:p w14:paraId="602E7254">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14:paraId="4AC574A1">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14:paraId="44FFBD8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89" w:hRule="atLeast"/>
          <w:jc w:val="center"/>
        </w:trPr>
        <w:tc>
          <w:tcPr>
            <w:tcW w:w="4740" w:type="dxa"/>
            <w:noWrap w:val="0"/>
            <w:vAlign w:val="center"/>
          </w:tcPr>
          <w:p w14:paraId="3E3A5FD6">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14:paraId="5871219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14:paraId="38AF65C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521" w:hRule="atLeast"/>
          <w:jc w:val="center"/>
        </w:trPr>
        <w:tc>
          <w:tcPr>
            <w:tcW w:w="4740" w:type="dxa"/>
            <w:noWrap w:val="0"/>
            <w:vAlign w:val="center"/>
          </w:tcPr>
          <w:p w14:paraId="2F495F4F">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14:paraId="4B06875D">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14:paraId="14EFD479">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14:paraId="1BDE9F9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14:paraId="6F448B5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14:paraId="0E4B4D79">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14:paraId="5A760B3E">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14:paraId="597A28E4">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14:paraId="2CB234C4">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14:paraId="3DFC2A0F">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14:paraId="5AD25534">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14:paraId="38AF4A64">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14:paraId="11D7C1C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4896F004">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14:paraId="03EC9C14">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47F8DAC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14:paraId="091675C0">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490E319">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6D6685BD">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7F97B126">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3E7267FB">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747DE77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7EEB6DC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7A152EF6">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23D042A1">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4F4A29D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2DEE884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452C0C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2706CD5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0A6F619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4EFA63A5">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3E1B4276">
      <w:pPr>
        <w:pStyle w:val="3"/>
        <w:rPr>
          <w:rFonts w:hint="eastAsia" w:ascii="仿宋" w:hAnsi="仿宋" w:eastAsia="仿宋" w:cs="仿宋"/>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8A4D494">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28DEDC62">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0EA92D0F">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20D5AE6B">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70A88AF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2AE0CE2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3D052A4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54EC4D3F">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2A42D4ED">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0719317B">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33C3C5DB">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4535209A">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68F1BBFC">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14:paraId="626DF692">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1CAAF20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48ADF32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0F3599CA">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3A982547">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286E3E5E">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20" w:name="_Toc12688"/>
      <w:bookmarkStart w:id="21" w:name="_Toc19550"/>
      <w:bookmarkStart w:id="22" w:name="_Toc3582"/>
      <w:bookmarkStart w:id="23" w:name="_Toc28357"/>
      <w:bookmarkStart w:id="24" w:name="_Toc1040"/>
      <w:bookmarkStart w:id="25" w:name="_Toc2839"/>
      <w:bookmarkStart w:id="26" w:name="_Toc60072419"/>
      <w:bookmarkStart w:id="27" w:name="_Toc16799"/>
      <w:bookmarkStart w:id="28" w:name="_Toc88826752"/>
      <w:bookmarkStart w:id="29" w:name="_Toc9449"/>
      <w:bookmarkStart w:id="30" w:name="_Toc224267949"/>
      <w:bookmarkStart w:id="31" w:name="_Toc210970162"/>
      <w:bookmarkStart w:id="32" w:name="_Toc210969795"/>
      <w:bookmarkStart w:id="33" w:name="_Toc180881068"/>
      <w:bookmarkStart w:id="34" w:name="_Toc114755894"/>
      <w:bookmarkStart w:id="35" w:name="_Toc211333709"/>
      <w:bookmarkStart w:id="36" w:name="_Toc209927322"/>
      <w:bookmarkStart w:id="37" w:name="_Toc180879242"/>
      <w:bookmarkStart w:id="38" w:name="_Toc222566850"/>
      <w:bookmarkStart w:id="39" w:name="_Toc341694677"/>
      <w:bookmarkStart w:id="40" w:name="_Toc228181650"/>
      <w:bookmarkStart w:id="41" w:name="_Toc214163979"/>
      <w:bookmarkStart w:id="42" w:name="_Toc114315181"/>
      <w:bookmarkStart w:id="43" w:name="_Toc223766115"/>
      <w:bookmarkStart w:id="44" w:name="_Toc227987602"/>
      <w:bookmarkStart w:id="45"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20"/>
      <w:bookmarkEnd w:id="21"/>
      <w:bookmarkEnd w:id="22"/>
      <w:bookmarkEnd w:id="23"/>
      <w:bookmarkEnd w:id="24"/>
      <w:bookmarkEnd w:id="25"/>
      <w:bookmarkEnd w:id="26"/>
      <w:bookmarkStart w:id="46" w:name="_Toc19437"/>
      <w:bookmarkStart w:id="47" w:name="_Toc22592"/>
      <w:bookmarkStart w:id="48" w:name="_Toc26756"/>
      <w:bookmarkStart w:id="49" w:name="_Toc23722"/>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7"/>
      <w:bookmarkEnd w:id="28"/>
      <w:bookmarkEnd w:id="29"/>
      <w:bookmarkEnd w:id="46"/>
      <w:bookmarkEnd w:id="47"/>
      <w:bookmarkEnd w:id="48"/>
      <w:bookmarkEnd w:id="49"/>
    </w:p>
    <w:p w14:paraId="6C6CED6A">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54E4023E">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131B849B">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64929680">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73B24082">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5575B4BC">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7297BA4D">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30CDB7FD">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53531AB1">
      <w:pPr>
        <w:ind w:firstLine="640" w:firstLineChars="200"/>
        <w:rPr>
          <w:rFonts w:hint="eastAsia" w:ascii="仿宋" w:hAnsi="仿宋" w:eastAsia="仿宋" w:cs="仿宋"/>
          <w:color w:val="000000"/>
          <w:sz w:val="32"/>
          <w:szCs w:val="32"/>
          <w:highlight w:val="none"/>
        </w:rPr>
      </w:pPr>
    </w:p>
    <w:p w14:paraId="353B3398">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4BB173D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78E59FD9">
      <w:pPr>
        <w:pStyle w:val="13"/>
        <w:rPr>
          <w:rFonts w:hint="eastAsia" w:ascii="仿宋_GB2312" w:hAnsi="仿宋_GB2312" w:eastAsia="仿宋_GB2312" w:cs="仿宋_GB2312"/>
          <w:color w:val="000000"/>
          <w:sz w:val="32"/>
          <w:szCs w:val="32"/>
          <w:highlight w:val="none"/>
        </w:rPr>
      </w:pPr>
    </w:p>
    <w:p w14:paraId="4F648045">
      <w:pPr>
        <w:pStyle w:val="3"/>
        <w:rPr>
          <w:rFonts w:hint="eastAsia" w:ascii="仿宋_GB2312" w:hAnsi="仿宋_GB2312" w:eastAsia="仿宋_GB2312" w:cs="仿宋_GB2312"/>
          <w:color w:val="000000"/>
          <w:sz w:val="32"/>
          <w:szCs w:val="32"/>
          <w:highlight w:val="none"/>
        </w:rPr>
      </w:pPr>
    </w:p>
    <w:p w14:paraId="2FFDFB1B">
      <w:pPr>
        <w:pStyle w:val="4"/>
        <w:rPr>
          <w:rFonts w:hint="eastAsia" w:ascii="仿宋_GB2312" w:hAnsi="仿宋_GB2312" w:eastAsia="仿宋_GB2312" w:cs="仿宋_GB2312"/>
          <w:color w:val="000000"/>
          <w:sz w:val="32"/>
          <w:szCs w:val="32"/>
          <w:highlight w:val="none"/>
        </w:rPr>
      </w:pPr>
    </w:p>
    <w:p w14:paraId="7B16B2D8">
      <w:pPr>
        <w:pStyle w:val="4"/>
        <w:rPr>
          <w:rFonts w:hint="eastAsia" w:ascii="仿宋_GB2312" w:hAnsi="仿宋_GB2312" w:eastAsia="仿宋_GB2312" w:cs="仿宋_GB2312"/>
          <w:color w:val="000000"/>
          <w:sz w:val="32"/>
          <w:szCs w:val="32"/>
          <w:highlight w:val="none"/>
        </w:rPr>
      </w:pPr>
    </w:p>
    <w:p w14:paraId="5A0996BC">
      <w:pPr>
        <w:ind w:firstLine="640" w:firstLineChars="200"/>
        <w:rPr>
          <w:rFonts w:hint="eastAsia" w:ascii="仿宋_GB2312" w:hAnsi="仿宋_GB2312" w:eastAsia="仿宋_GB2312" w:cs="仿宋_GB2312"/>
          <w:color w:val="000000"/>
          <w:sz w:val="32"/>
          <w:szCs w:val="32"/>
          <w:highlight w:val="none"/>
        </w:rPr>
      </w:pPr>
    </w:p>
    <w:p w14:paraId="64BFFB6F">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72D01643">
      <w:pPr>
        <w:ind w:firstLine="2880" w:firstLineChars="900"/>
        <w:rPr>
          <w:rFonts w:hint="eastAsia" w:ascii="仿宋" w:hAnsi="仿宋" w:eastAsia="仿宋" w:cs="仿宋"/>
          <w:kern w:val="0"/>
          <w:sz w:val="32"/>
          <w:szCs w:val="32"/>
        </w:rPr>
      </w:pPr>
    </w:p>
    <w:p w14:paraId="5E7B75F2">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591E760">
      <w:pPr>
        <w:ind w:firstLine="4050" w:firstLineChars="1350"/>
        <w:rPr>
          <w:rFonts w:hint="eastAsia" w:ascii="仿宋" w:hAnsi="仿宋" w:eastAsia="仿宋" w:cs="仿宋"/>
          <w:color w:val="000000"/>
          <w:sz w:val="30"/>
          <w:szCs w:val="30"/>
          <w:highlight w:val="none"/>
        </w:rPr>
      </w:pPr>
    </w:p>
    <w:p w14:paraId="482B6545">
      <w:pPr>
        <w:ind w:firstLine="4050" w:firstLineChars="1350"/>
        <w:rPr>
          <w:rFonts w:ascii="Times New Roman" w:hAnsi="Times New Roman" w:eastAsia="方正仿宋简体" w:cs="Times New Roman"/>
          <w:color w:val="000000"/>
          <w:sz w:val="30"/>
          <w:szCs w:val="30"/>
          <w:highlight w:val="none"/>
        </w:rPr>
      </w:pPr>
    </w:p>
    <w:p w14:paraId="7796317C">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50" w:name="_Toc19129"/>
      <w:bookmarkStart w:id="51" w:name="_Toc60072420"/>
      <w:bookmarkStart w:id="52" w:name="_Toc19696"/>
      <w:bookmarkStart w:id="53" w:name="_Toc1005"/>
      <w:bookmarkStart w:id="54" w:name="_Toc13272"/>
      <w:bookmarkStart w:id="55" w:name="_Toc25789"/>
      <w:bookmarkStart w:id="56" w:name="_Toc4936"/>
      <w:bookmarkStart w:id="57" w:name="_Toc88826753"/>
      <w:bookmarkStart w:id="58" w:name="_Toc472493192"/>
      <w:bookmarkStart w:id="59" w:name="_Toc14912"/>
      <w:bookmarkStart w:id="60" w:name="_Toc385268771"/>
      <w:bookmarkStart w:id="61" w:name="_Toc745"/>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50"/>
      <w:bookmarkEnd w:id="51"/>
      <w:bookmarkEnd w:id="52"/>
      <w:bookmarkEnd w:id="53"/>
      <w:bookmarkEnd w:id="54"/>
      <w:bookmarkEnd w:id="55"/>
      <w:bookmarkEnd w:id="56"/>
      <w:bookmarkStart w:id="62" w:name="_Toc7045"/>
      <w:bookmarkStart w:id="63" w:name="_Toc21481"/>
      <w:bookmarkStart w:id="64" w:name="_Toc21756"/>
      <w:bookmarkStart w:id="65" w:name="_Toc18078"/>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7"/>
      <w:bookmarkEnd w:id="58"/>
      <w:bookmarkEnd w:id="59"/>
      <w:bookmarkEnd w:id="60"/>
      <w:bookmarkEnd w:id="61"/>
      <w:bookmarkEnd w:id="62"/>
      <w:bookmarkEnd w:id="63"/>
      <w:bookmarkEnd w:id="64"/>
      <w:bookmarkEnd w:id="65"/>
    </w:p>
    <w:p w14:paraId="1F0F473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10ADAA59">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36BC8B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5CF2B5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583904C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69791655">
      <w:pPr>
        <w:pStyle w:val="13"/>
        <w:rPr>
          <w:rFonts w:hint="eastAsia" w:ascii="仿宋" w:hAnsi="仿宋" w:eastAsia="仿宋" w:cs="仿宋"/>
          <w:bCs/>
          <w:color w:val="000000"/>
          <w:kern w:val="2"/>
          <w:sz w:val="32"/>
          <w:szCs w:val="32"/>
          <w:highlight w:val="none"/>
          <w:lang w:val="en-US" w:eastAsia="zh-CN" w:bidi="ar-SA"/>
        </w:rPr>
      </w:pPr>
    </w:p>
    <w:p w14:paraId="2D975DF7">
      <w:pPr>
        <w:pStyle w:val="3"/>
        <w:rPr>
          <w:rFonts w:hint="eastAsia" w:ascii="仿宋_GB2312" w:hAnsi="仿宋_GB2312" w:eastAsia="仿宋_GB2312" w:cs="仿宋_GB2312"/>
          <w:bCs/>
          <w:color w:val="000000"/>
          <w:kern w:val="2"/>
          <w:sz w:val="32"/>
          <w:szCs w:val="32"/>
          <w:highlight w:val="none"/>
          <w:lang w:val="en-US" w:eastAsia="zh-CN" w:bidi="ar-SA"/>
        </w:rPr>
      </w:pPr>
    </w:p>
    <w:p w14:paraId="19B00024">
      <w:pPr>
        <w:pStyle w:val="4"/>
        <w:rPr>
          <w:rFonts w:hint="eastAsia" w:ascii="仿宋_GB2312" w:hAnsi="仿宋_GB2312" w:eastAsia="仿宋_GB2312" w:cs="仿宋_GB2312"/>
          <w:bCs/>
          <w:color w:val="000000"/>
          <w:kern w:val="2"/>
          <w:sz w:val="32"/>
          <w:szCs w:val="32"/>
          <w:highlight w:val="none"/>
          <w:lang w:val="en-US" w:eastAsia="zh-CN" w:bidi="ar-SA"/>
        </w:rPr>
      </w:pPr>
    </w:p>
    <w:p w14:paraId="73E448DD">
      <w:pPr>
        <w:pStyle w:val="4"/>
        <w:rPr>
          <w:rFonts w:hint="eastAsia" w:ascii="仿宋_GB2312" w:hAnsi="仿宋_GB2312" w:eastAsia="仿宋_GB2312" w:cs="仿宋_GB2312"/>
          <w:bCs/>
          <w:color w:val="000000"/>
          <w:kern w:val="2"/>
          <w:sz w:val="32"/>
          <w:szCs w:val="32"/>
          <w:highlight w:val="none"/>
          <w:lang w:val="en-US" w:eastAsia="zh-CN" w:bidi="ar-SA"/>
        </w:rPr>
      </w:pPr>
    </w:p>
    <w:p w14:paraId="51FFB6AA">
      <w:pPr>
        <w:pStyle w:val="4"/>
        <w:rPr>
          <w:rFonts w:hint="eastAsia" w:ascii="仿宋_GB2312" w:hAnsi="仿宋_GB2312" w:eastAsia="仿宋_GB2312" w:cs="仿宋_GB2312"/>
          <w:bCs/>
          <w:color w:val="000000"/>
          <w:kern w:val="2"/>
          <w:sz w:val="32"/>
          <w:szCs w:val="32"/>
          <w:highlight w:val="none"/>
          <w:lang w:val="en-US" w:eastAsia="zh-CN" w:bidi="ar-SA"/>
        </w:rPr>
      </w:pPr>
    </w:p>
    <w:p w14:paraId="2E59C9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5531A6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671559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188B60C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589F8BB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7887FA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60BEF7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0214FFC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6" w:name="_Toc383777794"/>
      <w:bookmarkStart w:id="67" w:name="_Toc385268772"/>
      <w:r>
        <w:rPr>
          <w:rFonts w:hint="eastAsia" w:ascii="仿宋" w:hAnsi="仿宋" w:eastAsia="仿宋" w:cs="仿宋"/>
          <w:bCs/>
          <w:color w:val="000000"/>
          <w:kern w:val="2"/>
          <w:sz w:val="32"/>
          <w:szCs w:val="32"/>
          <w:highlight w:val="none"/>
          <w:lang w:val="en-US" w:eastAsia="zh-CN" w:bidi="ar-SA"/>
        </w:rPr>
        <w:t>日期：</w:t>
      </w:r>
      <w:bookmarkEnd w:id="66"/>
      <w:bookmarkEnd w:id="67"/>
      <w:r>
        <w:rPr>
          <w:rFonts w:hint="eastAsia" w:ascii="仿宋" w:hAnsi="仿宋" w:eastAsia="仿宋" w:cs="仿宋"/>
          <w:bCs/>
          <w:color w:val="000000"/>
          <w:kern w:val="2"/>
          <w:sz w:val="32"/>
          <w:szCs w:val="32"/>
          <w:highlight w:val="none"/>
          <w:u w:val="single"/>
          <w:lang w:val="en-US" w:eastAsia="zh-CN" w:bidi="ar-SA"/>
        </w:rPr>
        <w:t xml:space="preserve">                               </w:t>
      </w:r>
    </w:p>
    <w:p w14:paraId="6DA50D19">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5BCDB47A">
      <w:pPr>
        <w:ind w:firstLine="0" w:firstLineChars="0"/>
        <w:outlineLvl w:val="1"/>
        <w:rPr>
          <w:rFonts w:hint="eastAsia" w:ascii="仿宋" w:hAnsi="仿宋" w:eastAsia="仿宋" w:cs="仿宋"/>
          <w:color w:val="000000"/>
          <w:sz w:val="32"/>
          <w:szCs w:val="32"/>
          <w:highlight w:val="none"/>
        </w:rPr>
      </w:pPr>
      <w:bookmarkStart w:id="68" w:name="_Toc88826754"/>
      <w:bookmarkStart w:id="69" w:name="_Toc30040"/>
      <w:bookmarkStart w:id="70" w:name="_Toc11782"/>
      <w:bookmarkStart w:id="71" w:name="_Toc1522"/>
      <w:bookmarkStart w:id="72" w:name="_Toc6427"/>
      <w:bookmarkStart w:id="73" w:name="_Toc472493193"/>
      <w:bookmarkStart w:id="74" w:name="_Toc2241"/>
      <w:bookmarkStart w:id="75" w:name="_Toc12814"/>
      <w:bookmarkStart w:id="76" w:name="_Toc60072421"/>
      <w:bookmarkStart w:id="77"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8"/>
      <w:bookmarkEnd w:id="69"/>
      <w:bookmarkEnd w:id="70"/>
      <w:bookmarkEnd w:id="71"/>
      <w:bookmarkEnd w:id="72"/>
      <w:bookmarkEnd w:id="73"/>
      <w:bookmarkEnd w:id="74"/>
      <w:bookmarkEnd w:id="75"/>
      <w:bookmarkEnd w:id="76"/>
      <w:r>
        <w:rPr>
          <w:rFonts w:hint="eastAsia" w:ascii="仿宋" w:hAnsi="仿宋" w:eastAsia="仿宋" w:cs="仿宋"/>
          <w:color w:val="000000"/>
          <w:sz w:val="32"/>
          <w:szCs w:val="32"/>
          <w:highlight w:val="none"/>
          <w:lang w:val="en-US" w:eastAsia="zh-CN"/>
        </w:rPr>
        <w:t>（格式）</w:t>
      </w:r>
      <w:bookmarkEnd w:id="77"/>
    </w:p>
    <w:p w14:paraId="7375A1F1">
      <w:pPr>
        <w:ind w:firstLine="0" w:firstLineChars="0"/>
        <w:outlineLvl w:val="1"/>
        <w:rPr>
          <w:rFonts w:hint="eastAsia" w:ascii="仿宋" w:hAnsi="仿宋" w:eastAsia="仿宋" w:cs="仿宋"/>
          <w:color w:val="000000"/>
          <w:sz w:val="32"/>
          <w:szCs w:val="32"/>
          <w:highlight w:val="none"/>
          <w:lang w:eastAsia="zh-CN"/>
        </w:rPr>
      </w:pPr>
      <w:bookmarkStart w:id="78" w:name="_Toc14592"/>
      <w:bookmarkStart w:id="79" w:name="_Toc17921"/>
      <w:r>
        <w:rPr>
          <w:rFonts w:hint="eastAsia" w:ascii="仿宋" w:hAnsi="仿宋" w:eastAsia="仿宋" w:cs="仿宋"/>
          <w:color w:val="000000"/>
          <w:sz w:val="32"/>
          <w:szCs w:val="32"/>
          <w:highlight w:val="none"/>
          <w:lang w:eastAsia="zh-CN"/>
        </w:rPr>
        <w:t>（一）缴费凭证</w:t>
      </w:r>
      <w:bookmarkEnd w:id="78"/>
      <w:bookmarkEnd w:id="79"/>
    </w:p>
    <w:p w14:paraId="0526E315">
      <w:pPr>
        <w:pStyle w:val="8"/>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623A8FE6">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1F066B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C58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3CDC70DF">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5DE4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DD65F2">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64104A7D">
            <w:pPr>
              <w:ind w:firstLine="0" w:firstLineChars="0"/>
              <w:jc w:val="center"/>
              <w:rPr>
                <w:rFonts w:hint="eastAsia" w:ascii="仿宋" w:hAnsi="仿宋" w:eastAsia="仿宋" w:cs="仿宋"/>
                <w:color w:val="000000"/>
                <w:sz w:val="32"/>
                <w:szCs w:val="32"/>
                <w:highlight w:val="none"/>
              </w:rPr>
            </w:pPr>
          </w:p>
        </w:tc>
      </w:tr>
      <w:tr w14:paraId="1CB9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C7A833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01CFF0B5">
            <w:pPr>
              <w:ind w:firstLine="0" w:firstLineChars="0"/>
              <w:jc w:val="center"/>
              <w:rPr>
                <w:rFonts w:hint="eastAsia" w:ascii="仿宋" w:hAnsi="仿宋" w:eastAsia="仿宋" w:cs="仿宋"/>
                <w:color w:val="000000"/>
                <w:sz w:val="32"/>
                <w:szCs w:val="32"/>
                <w:highlight w:val="none"/>
              </w:rPr>
            </w:pPr>
          </w:p>
        </w:tc>
      </w:tr>
      <w:tr w14:paraId="52E5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9471C41">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535E0B9B">
            <w:pPr>
              <w:ind w:firstLine="0" w:firstLineChars="0"/>
              <w:jc w:val="center"/>
              <w:rPr>
                <w:rFonts w:hint="eastAsia" w:ascii="仿宋" w:hAnsi="仿宋" w:eastAsia="仿宋" w:cs="仿宋"/>
                <w:color w:val="000000"/>
                <w:sz w:val="32"/>
                <w:szCs w:val="32"/>
                <w:highlight w:val="none"/>
              </w:rPr>
            </w:pPr>
          </w:p>
        </w:tc>
      </w:tr>
      <w:tr w14:paraId="4554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28112B01">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4AED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6433525">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62C63609">
            <w:pPr>
              <w:ind w:firstLine="0" w:firstLineChars="0"/>
              <w:jc w:val="center"/>
              <w:rPr>
                <w:rFonts w:hint="eastAsia" w:ascii="仿宋" w:hAnsi="仿宋" w:eastAsia="仿宋" w:cs="仿宋"/>
                <w:color w:val="000000"/>
                <w:sz w:val="32"/>
                <w:szCs w:val="32"/>
                <w:highlight w:val="none"/>
              </w:rPr>
            </w:pPr>
          </w:p>
        </w:tc>
      </w:tr>
      <w:tr w14:paraId="4342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9387C54">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572C001C">
            <w:pPr>
              <w:ind w:firstLine="0" w:firstLineChars="0"/>
              <w:jc w:val="center"/>
              <w:rPr>
                <w:rFonts w:hint="eastAsia" w:ascii="仿宋" w:hAnsi="仿宋" w:eastAsia="仿宋" w:cs="仿宋"/>
                <w:color w:val="000000"/>
                <w:sz w:val="32"/>
                <w:szCs w:val="32"/>
                <w:highlight w:val="none"/>
              </w:rPr>
            </w:pPr>
          </w:p>
        </w:tc>
      </w:tr>
      <w:tr w14:paraId="7968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A07A25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4B59CAFA">
            <w:pPr>
              <w:ind w:firstLine="0" w:firstLineChars="0"/>
              <w:jc w:val="center"/>
              <w:rPr>
                <w:rFonts w:hint="eastAsia" w:ascii="仿宋" w:hAnsi="仿宋" w:eastAsia="仿宋" w:cs="仿宋"/>
                <w:color w:val="000000"/>
                <w:sz w:val="32"/>
                <w:szCs w:val="32"/>
                <w:highlight w:val="none"/>
              </w:rPr>
            </w:pPr>
          </w:p>
        </w:tc>
      </w:tr>
      <w:tr w14:paraId="778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84C0CEA">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1E4C0AF2">
            <w:pPr>
              <w:ind w:firstLine="0" w:firstLineChars="0"/>
              <w:jc w:val="center"/>
              <w:rPr>
                <w:rFonts w:hint="eastAsia" w:ascii="仿宋" w:hAnsi="仿宋" w:eastAsia="仿宋" w:cs="仿宋"/>
                <w:color w:val="000000"/>
                <w:sz w:val="32"/>
                <w:szCs w:val="32"/>
                <w:highlight w:val="none"/>
              </w:rPr>
            </w:pPr>
          </w:p>
        </w:tc>
      </w:tr>
      <w:tr w14:paraId="416F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6BD6A8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6963F79D">
            <w:pPr>
              <w:ind w:firstLine="0" w:firstLineChars="0"/>
              <w:jc w:val="center"/>
              <w:rPr>
                <w:rFonts w:hint="eastAsia" w:ascii="仿宋" w:hAnsi="仿宋" w:eastAsia="仿宋" w:cs="仿宋"/>
                <w:color w:val="000000"/>
                <w:sz w:val="32"/>
                <w:szCs w:val="32"/>
                <w:highlight w:val="none"/>
              </w:rPr>
            </w:pPr>
          </w:p>
        </w:tc>
      </w:tr>
      <w:tr w14:paraId="6E3F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A505822">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0688C62A">
            <w:pPr>
              <w:ind w:firstLine="0" w:firstLineChars="0"/>
              <w:jc w:val="center"/>
              <w:rPr>
                <w:rFonts w:hint="eastAsia" w:ascii="仿宋" w:hAnsi="仿宋" w:eastAsia="仿宋" w:cs="仿宋"/>
                <w:color w:val="000000"/>
                <w:sz w:val="32"/>
                <w:szCs w:val="32"/>
                <w:highlight w:val="none"/>
              </w:rPr>
            </w:pPr>
          </w:p>
        </w:tc>
      </w:tr>
      <w:tr w14:paraId="3ACA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326C9C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4E47D7B3">
            <w:pPr>
              <w:ind w:firstLine="0" w:firstLineChars="0"/>
              <w:jc w:val="center"/>
              <w:rPr>
                <w:rFonts w:hint="eastAsia" w:ascii="仿宋" w:hAnsi="仿宋" w:eastAsia="仿宋" w:cs="仿宋"/>
                <w:color w:val="000000"/>
                <w:sz w:val="32"/>
                <w:szCs w:val="32"/>
                <w:highlight w:val="none"/>
              </w:rPr>
            </w:pPr>
          </w:p>
        </w:tc>
      </w:tr>
      <w:tr w14:paraId="52B7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3D91ED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322CFA34">
            <w:pPr>
              <w:ind w:firstLine="0" w:firstLineChars="0"/>
              <w:jc w:val="center"/>
              <w:rPr>
                <w:rFonts w:hint="eastAsia" w:ascii="仿宋" w:hAnsi="仿宋" w:eastAsia="仿宋" w:cs="仿宋"/>
                <w:color w:val="000000"/>
                <w:sz w:val="32"/>
                <w:szCs w:val="32"/>
                <w:highlight w:val="none"/>
              </w:rPr>
            </w:pPr>
          </w:p>
        </w:tc>
      </w:tr>
      <w:tr w14:paraId="020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A59D32B">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42079F85">
            <w:pPr>
              <w:ind w:firstLine="0" w:firstLineChars="0"/>
              <w:jc w:val="center"/>
              <w:rPr>
                <w:rFonts w:hint="eastAsia" w:ascii="仿宋" w:hAnsi="仿宋" w:eastAsia="仿宋" w:cs="仿宋"/>
                <w:color w:val="000000"/>
                <w:sz w:val="32"/>
                <w:szCs w:val="32"/>
                <w:highlight w:val="none"/>
              </w:rPr>
            </w:pPr>
          </w:p>
        </w:tc>
      </w:tr>
    </w:tbl>
    <w:p w14:paraId="4C46F16E">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4098B84F">
      <w:pPr>
        <w:ind w:firstLine="0" w:firstLineChars="0"/>
        <w:jc w:val="right"/>
        <w:outlineLvl w:val="1"/>
        <w:rPr>
          <w:rFonts w:hint="eastAsia" w:ascii="仿宋_GB2312" w:hAnsi="仿宋_GB2312" w:eastAsia="仿宋_GB2312" w:cs="仿宋_GB2312"/>
          <w:kern w:val="0"/>
          <w:sz w:val="32"/>
          <w:szCs w:val="32"/>
        </w:rPr>
      </w:pPr>
      <w:bookmarkStart w:id="80" w:name="_Toc32450"/>
      <w:bookmarkStart w:id="81" w:name="_Toc32227"/>
      <w:bookmarkStart w:id="82" w:name="_Toc60072422"/>
      <w:bookmarkStart w:id="83" w:name="_Toc6335"/>
      <w:bookmarkStart w:id="84" w:name="_Toc4185"/>
      <w:bookmarkStart w:id="85" w:name="_Toc29909"/>
      <w:bookmarkStart w:id="86" w:name="_Toc472493194"/>
      <w:bookmarkStart w:id="87" w:name="_Toc1827"/>
      <w:bookmarkStart w:id="88" w:name="_Toc4228"/>
      <w:bookmarkStart w:id="89" w:name="_Toc88826755"/>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80"/>
      <w:bookmarkEnd w:id="81"/>
    </w:p>
    <w:p w14:paraId="1F8BFBC6">
      <w:pPr>
        <w:ind w:firstLine="0" w:firstLineChars="0"/>
        <w:outlineLvl w:val="1"/>
        <w:rPr>
          <w:rFonts w:hint="eastAsia" w:ascii="仿宋_GB2312" w:hAnsi="仿宋_GB2312" w:eastAsia="仿宋_GB2312" w:cs="仿宋_GB2312"/>
          <w:color w:val="000000"/>
          <w:sz w:val="32"/>
          <w:szCs w:val="32"/>
          <w:highlight w:val="none"/>
          <w:lang w:eastAsia="zh-CN"/>
        </w:rPr>
      </w:pPr>
      <w:bookmarkStart w:id="90" w:name="_Toc7543"/>
      <w:bookmarkStart w:id="91" w:name="_Toc29204"/>
    </w:p>
    <w:p w14:paraId="005E288D">
      <w:pPr>
        <w:jc w:val="center"/>
        <w:rPr>
          <w:rFonts w:hint="default" w:eastAsia="宋体"/>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4076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5DA2C2D5">
            <w:pPr>
              <w:jc w:val="center"/>
              <w:rPr>
                <w:rFonts w:hint="default" w:eastAsia="宋体"/>
                <w:sz w:val="28"/>
                <w:szCs w:val="28"/>
                <w:vertAlign w:val="baseline"/>
                <w:lang w:val="en-US" w:eastAsia="zh-CN"/>
              </w:rPr>
            </w:pPr>
            <w:r>
              <w:rPr>
                <w:rFonts w:hint="eastAsia"/>
                <w:sz w:val="28"/>
                <w:szCs w:val="28"/>
                <w:vertAlign w:val="baseline"/>
                <w:lang w:val="en-US" w:eastAsia="zh-CN"/>
              </w:rPr>
              <w:t>公司名称</w:t>
            </w:r>
          </w:p>
        </w:tc>
        <w:tc>
          <w:tcPr>
            <w:tcW w:w="4060" w:type="dxa"/>
            <w:noWrap w:val="0"/>
            <w:vAlign w:val="top"/>
          </w:tcPr>
          <w:p w14:paraId="1F07844A">
            <w:pPr>
              <w:rPr>
                <w:rFonts w:hint="default" w:eastAsia="宋体"/>
                <w:vertAlign w:val="baseline"/>
                <w:lang w:val="en-US" w:eastAsia="zh-CN"/>
              </w:rPr>
            </w:pPr>
          </w:p>
        </w:tc>
      </w:tr>
      <w:tr w14:paraId="3CB0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17952195">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纳税人识别号</w:t>
            </w:r>
          </w:p>
        </w:tc>
        <w:tc>
          <w:tcPr>
            <w:tcW w:w="4060" w:type="dxa"/>
            <w:noWrap w:val="0"/>
            <w:vAlign w:val="top"/>
          </w:tcPr>
          <w:p w14:paraId="4520EDC5">
            <w:pPr>
              <w:rPr>
                <w:rFonts w:hint="default" w:eastAsia="宋体"/>
                <w:vertAlign w:val="baseline"/>
                <w:lang w:val="en-US" w:eastAsia="zh-CN"/>
              </w:rPr>
            </w:pPr>
          </w:p>
        </w:tc>
      </w:tr>
      <w:tr w14:paraId="55E9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3826607D">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地址</w:t>
            </w:r>
          </w:p>
        </w:tc>
        <w:tc>
          <w:tcPr>
            <w:tcW w:w="4060" w:type="dxa"/>
            <w:noWrap w:val="0"/>
            <w:vAlign w:val="top"/>
          </w:tcPr>
          <w:p w14:paraId="5EC4B043">
            <w:pPr>
              <w:rPr>
                <w:rFonts w:hint="default" w:eastAsia="宋体"/>
                <w:vertAlign w:val="baseline"/>
                <w:lang w:val="en-US" w:eastAsia="zh-CN"/>
              </w:rPr>
            </w:pPr>
          </w:p>
        </w:tc>
      </w:tr>
      <w:tr w14:paraId="5AE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noWrap w:val="0"/>
            <w:vAlign w:val="center"/>
          </w:tcPr>
          <w:p w14:paraId="7FF9BA2A">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电话</w:t>
            </w:r>
          </w:p>
        </w:tc>
        <w:tc>
          <w:tcPr>
            <w:tcW w:w="4060" w:type="dxa"/>
            <w:noWrap w:val="0"/>
            <w:vAlign w:val="top"/>
          </w:tcPr>
          <w:p w14:paraId="249C8D7C">
            <w:pPr>
              <w:rPr>
                <w:rFonts w:hint="default" w:eastAsia="宋体"/>
                <w:vertAlign w:val="baseline"/>
                <w:lang w:val="en-US" w:eastAsia="zh-CN"/>
              </w:rPr>
            </w:pPr>
          </w:p>
        </w:tc>
      </w:tr>
      <w:tr w14:paraId="65F4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278A0E59">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开户银行</w:t>
            </w:r>
          </w:p>
        </w:tc>
        <w:tc>
          <w:tcPr>
            <w:tcW w:w="4060" w:type="dxa"/>
            <w:noWrap w:val="0"/>
            <w:vAlign w:val="top"/>
          </w:tcPr>
          <w:p w14:paraId="7E985AF6">
            <w:pPr>
              <w:rPr>
                <w:rFonts w:hint="default" w:eastAsia="宋体"/>
                <w:vertAlign w:val="baseline"/>
                <w:lang w:val="en-US" w:eastAsia="zh-CN"/>
              </w:rPr>
            </w:pPr>
          </w:p>
        </w:tc>
      </w:tr>
      <w:tr w14:paraId="1FB3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4D912078">
            <w:pPr>
              <w:jc w:val="center"/>
              <w:rPr>
                <w:rFonts w:hint="default" w:eastAsia="宋体"/>
                <w:sz w:val="28"/>
                <w:szCs w:val="28"/>
                <w:vertAlign w:val="baseline"/>
                <w:lang w:val="en-US" w:eastAsia="zh-CN"/>
              </w:rPr>
            </w:pPr>
            <w:r>
              <w:rPr>
                <w:rFonts w:hint="default" w:eastAsia="宋体"/>
                <w:sz w:val="28"/>
                <w:szCs w:val="28"/>
                <w:vertAlign w:val="baseline"/>
                <w:lang w:val="en-US" w:eastAsia="zh-CN"/>
              </w:rPr>
              <w:t>银行账号</w:t>
            </w:r>
          </w:p>
        </w:tc>
        <w:tc>
          <w:tcPr>
            <w:tcW w:w="4060" w:type="dxa"/>
            <w:noWrap w:val="0"/>
            <w:vAlign w:val="top"/>
          </w:tcPr>
          <w:p w14:paraId="163B806E">
            <w:pPr>
              <w:rPr>
                <w:rFonts w:hint="default" w:eastAsia="宋体"/>
                <w:vertAlign w:val="baseline"/>
                <w:lang w:val="en-US" w:eastAsia="zh-CN"/>
              </w:rPr>
            </w:pPr>
          </w:p>
        </w:tc>
      </w:tr>
      <w:tr w14:paraId="5EA0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noWrap w:val="0"/>
            <w:vAlign w:val="center"/>
          </w:tcPr>
          <w:p w14:paraId="744CEFB0">
            <w:pPr>
              <w:jc w:val="center"/>
              <w:rPr>
                <w:rFonts w:hint="default" w:eastAsia="宋体"/>
                <w:sz w:val="28"/>
                <w:szCs w:val="28"/>
                <w:vertAlign w:val="baseline"/>
                <w:lang w:val="en-US" w:eastAsia="zh-CN"/>
              </w:rPr>
            </w:pPr>
            <w:r>
              <w:rPr>
                <w:rFonts w:hint="eastAsia"/>
                <w:sz w:val="28"/>
                <w:szCs w:val="28"/>
                <w:vertAlign w:val="baseline"/>
                <w:lang w:val="en-US" w:eastAsia="zh-CN"/>
              </w:rPr>
              <w:t>专票/普票</w:t>
            </w:r>
          </w:p>
        </w:tc>
        <w:tc>
          <w:tcPr>
            <w:tcW w:w="4060" w:type="dxa"/>
            <w:noWrap w:val="0"/>
            <w:vAlign w:val="top"/>
          </w:tcPr>
          <w:p w14:paraId="79B21BBE">
            <w:pPr>
              <w:rPr>
                <w:rFonts w:hint="default" w:eastAsia="宋体"/>
                <w:vertAlign w:val="baseline"/>
                <w:lang w:val="en-US" w:eastAsia="zh-CN"/>
              </w:rPr>
            </w:pPr>
          </w:p>
        </w:tc>
      </w:tr>
    </w:tbl>
    <w:p w14:paraId="0662A29B">
      <w:pPr>
        <w:rPr>
          <w:rFonts w:hint="default" w:eastAsia="宋体"/>
          <w:lang w:val="en-US" w:eastAsia="zh-CN"/>
        </w:rPr>
      </w:pPr>
    </w:p>
    <w:p w14:paraId="51FCFD8A">
      <w:pPr>
        <w:pStyle w:val="13"/>
        <w:rPr>
          <w:rFonts w:hint="eastAsia"/>
          <w:lang w:eastAsia="zh-CN"/>
        </w:rPr>
      </w:pPr>
    </w:p>
    <w:p w14:paraId="57EA0166">
      <w:pPr>
        <w:pStyle w:val="3"/>
        <w:rPr>
          <w:rFonts w:hint="eastAsia"/>
          <w:lang w:eastAsia="zh-CN"/>
        </w:rPr>
      </w:pPr>
    </w:p>
    <w:p w14:paraId="52BF37C8">
      <w:pPr>
        <w:pStyle w:val="4"/>
        <w:rPr>
          <w:rFonts w:hint="eastAsia"/>
          <w:lang w:eastAsia="zh-CN"/>
        </w:rPr>
      </w:pPr>
    </w:p>
    <w:p w14:paraId="27DF5F18">
      <w:pPr>
        <w:pStyle w:val="4"/>
        <w:rPr>
          <w:rFonts w:hint="eastAsia"/>
          <w:lang w:eastAsia="zh-CN"/>
        </w:rPr>
      </w:pPr>
    </w:p>
    <w:p w14:paraId="3F5258F5">
      <w:pPr>
        <w:pStyle w:val="4"/>
        <w:rPr>
          <w:rFonts w:hint="eastAsia"/>
          <w:lang w:eastAsia="zh-CN"/>
        </w:rPr>
      </w:pPr>
    </w:p>
    <w:p w14:paraId="0F34AEBC">
      <w:pPr>
        <w:pStyle w:val="4"/>
        <w:rPr>
          <w:rFonts w:hint="eastAsia"/>
          <w:lang w:eastAsia="zh-CN"/>
        </w:rPr>
      </w:pPr>
      <w:bookmarkStart w:id="116" w:name="_GoBack"/>
      <w:bookmarkEnd w:id="116"/>
    </w:p>
    <w:p w14:paraId="68E7CC91">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2"/>
      <w:bookmarkEnd w:id="83"/>
      <w:bookmarkEnd w:id="84"/>
      <w:bookmarkEnd w:id="85"/>
      <w:bookmarkEnd w:id="86"/>
      <w:bookmarkEnd w:id="87"/>
      <w:bookmarkEnd w:id="88"/>
      <w:bookmarkEnd w:id="89"/>
      <w:bookmarkEnd w:id="90"/>
      <w:bookmarkEnd w:id="91"/>
    </w:p>
    <w:p w14:paraId="74E3AD7B">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4EB0972A">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17EACB9">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1B1A9D20">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36CA2F05">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17EBA7D5">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9"/>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14:paraId="4206F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restart"/>
            <w:noWrap w:val="0"/>
            <w:vAlign w:val="center"/>
          </w:tcPr>
          <w:p w14:paraId="6E5D5CD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14:paraId="65B36D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14:paraId="7C2AEB3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5840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continue"/>
            <w:noWrap w:val="0"/>
            <w:vAlign w:val="center"/>
          </w:tcPr>
          <w:p w14:paraId="07FD716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14:paraId="04FC1EE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2A413D3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6E3B766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4837B2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42B0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A1E40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本次服务</w:t>
            </w:r>
          </w:p>
          <w:p w14:paraId="185DAAE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项目总价</w:t>
            </w:r>
          </w:p>
        </w:tc>
        <w:tc>
          <w:tcPr>
            <w:tcW w:w="1843" w:type="dxa"/>
            <w:noWrap w:val="0"/>
            <w:vAlign w:val="center"/>
          </w:tcPr>
          <w:p w14:paraId="2E81289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992289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6700D4C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49912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此处包含对</w:t>
            </w:r>
            <w:r>
              <w:rPr>
                <w:rFonts w:hint="eastAsia" w:ascii="宋体" w:hAnsi="宋体"/>
                <w:sz w:val="20"/>
                <w:szCs w:val="20"/>
                <w:lang w:val="en-US" w:eastAsia="zh-CN"/>
              </w:rPr>
              <w:t>本项报价及</w:t>
            </w:r>
            <w:r>
              <w:rPr>
                <w:rFonts w:hint="eastAsia" w:ascii="宋体" w:hAnsi="宋体"/>
                <w:sz w:val="20"/>
                <w:szCs w:val="20"/>
                <w:lang w:eastAsia="zh-CN"/>
              </w:rPr>
              <w:t>税率税种等情况的说明</w:t>
            </w:r>
          </w:p>
        </w:tc>
      </w:tr>
      <w:tr w14:paraId="4073C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0A6E13B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 xml:space="preserve">                                </w:t>
            </w:r>
          </w:p>
        </w:tc>
        <w:tc>
          <w:tcPr>
            <w:tcW w:w="1843" w:type="dxa"/>
            <w:noWrap w:val="0"/>
            <w:vAlign w:val="center"/>
          </w:tcPr>
          <w:p w14:paraId="450BEB3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3693582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7231CC9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0346C7C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53F0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0B1428D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p>
        </w:tc>
        <w:tc>
          <w:tcPr>
            <w:tcW w:w="1843" w:type="dxa"/>
            <w:noWrap w:val="0"/>
            <w:vAlign w:val="center"/>
          </w:tcPr>
          <w:p w14:paraId="6763C71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sz w:val="20"/>
                <w:szCs w:val="20"/>
                <w:lang w:val="en-US"/>
              </w:rPr>
            </w:pPr>
          </w:p>
        </w:tc>
        <w:tc>
          <w:tcPr>
            <w:tcW w:w="1866" w:type="dxa"/>
            <w:noWrap w:val="0"/>
            <w:vAlign w:val="center"/>
          </w:tcPr>
          <w:p w14:paraId="5C22378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sz w:val="20"/>
                <w:szCs w:val="20"/>
                <w:lang w:val="en-US"/>
              </w:rPr>
            </w:pPr>
          </w:p>
        </w:tc>
        <w:tc>
          <w:tcPr>
            <w:tcW w:w="1600" w:type="dxa"/>
            <w:noWrap w:val="0"/>
            <w:vAlign w:val="center"/>
          </w:tcPr>
          <w:p w14:paraId="239FF73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sz w:val="20"/>
                <w:szCs w:val="20"/>
                <w:lang w:val="en-US"/>
              </w:rPr>
            </w:pPr>
          </w:p>
        </w:tc>
        <w:tc>
          <w:tcPr>
            <w:tcW w:w="2753" w:type="dxa"/>
            <w:noWrap w:val="0"/>
            <w:vAlign w:val="center"/>
          </w:tcPr>
          <w:p w14:paraId="06B2B81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sz w:val="20"/>
                <w:szCs w:val="20"/>
                <w:lang w:val="en-US"/>
              </w:rPr>
            </w:pPr>
          </w:p>
        </w:tc>
      </w:tr>
      <w:tr w14:paraId="29E49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261E6B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p>
        </w:tc>
        <w:tc>
          <w:tcPr>
            <w:tcW w:w="1843" w:type="dxa"/>
            <w:noWrap w:val="0"/>
            <w:vAlign w:val="center"/>
          </w:tcPr>
          <w:p w14:paraId="767E07E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0A6E99A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684065E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6D0AC71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42D8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65740C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p>
        </w:tc>
        <w:tc>
          <w:tcPr>
            <w:tcW w:w="1843" w:type="dxa"/>
            <w:noWrap w:val="0"/>
            <w:vAlign w:val="center"/>
          </w:tcPr>
          <w:p w14:paraId="3B61210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281F1C65">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380098C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76AE1C1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78985FE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0525B4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14:paraId="264519BB">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14:paraId="22478CF3">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2" w:name="_Toc4914"/>
      <w:bookmarkStart w:id="93" w:name="_Toc27265"/>
      <w:bookmarkStart w:id="94" w:name="_Toc28795"/>
      <w:bookmarkStart w:id="95" w:name="_Toc472493196"/>
      <w:bookmarkStart w:id="96" w:name="_Toc20723"/>
      <w:bookmarkStart w:id="97" w:name="_Toc15945"/>
      <w:bookmarkStart w:id="98" w:name="_Toc9387"/>
      <w:bookmarkStart w:id="99" w:name="_Toc88826756"/>
      <w:bookmarkStart w:id="100" w:name="_Toc60072423"/>
      <w:bookmarkStart w:id="101" w:name="_Toc27623"/>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2"/>
      <w:bookmarkEnd w:id="93"/>
    </w:p>
    <w:p w14:paraId="6DE69ED9">
      <w:pPr>
        <w:pStyle w:val="8"/>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55CAE3D2">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9"/>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06959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67FAED72">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408C9653">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411302E8">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4048AF4D">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6C81CE24">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5358B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4A8881DB">
            <w:pPr>
              <w:spacing w:before="240" w:after="240"/>
              <w:rPr>
                <w:rFonts w:hint="eastAsia" w:ascii="仿宋" w:hAnsi="仿宋" w:eastAsia="仿宋" w:cs="仿宋"/>
                <w:sz w:val="30"/>
                <w:szCs w:val="30"/>
                <w:lang w:val="en-US" w:eastAsia="zh-CN"/>
              </w:rPr>
            </w:pPr>
          </w:p>
        </w:tc>
        <w:tc>
          <w:tcPr>
            <w:tcW w:w="1870" w:type="dxa"/>
            <w:noWrap w:val="0"/>
            <w:vAlign w:val="top"/>
          </w:tcPr>
          <w:p w14:paraId="543A1CCD">
            <w:pPr>
              <w:rPr>
                <w:rFonts w:hint="eastAsia" w:ascii="仿宋" w:hAnsi="仿宋" w:eastAsia="仿宋" w:cs="仿宋"/>
                <w:sz w:val="30"/>
                <w:szCs w:val="30"/>
              </w:rPr>
            </w:pPr>
          </w:p>
        </w:tc>
        <w:tc>
          <w:tcPr>
            <w:tcW w:w="1698" w:type="dxa"/>
            <w:noWrap w:val="0"/>
            <w:vAlign w:val="top"/>
          </w:tcPr>
          <w:p w14:paraId="4A1CA92C">
            <w:pPr>
              <w:rPr>
                <w:rFonts w:hint="eastAsia" w:ascii="仿宋" w:hAnsi="仿宋" w:eastAsia="仿宋" w:cs="仿宋"/>
                <w:sz w:val="30"/>
                <w:szCs w:val="30"/>
              </w:rPr>
            </w:pPr>
          </w:p>
        </w:tc>
        <w:tc>
          <w:tcPr>
            <w:tcW w:w="1675" w:type="dxa"/>
            <w:noWrap w:val="0"/>
            <w:vAlign w:val="top"/>
          </w:tcPr>
          <w:p w14:paraId="177DDDA0">
            <w:pPr>
              <w:rPr>
                <w:rFonts w:hint="eastAsia" w:ascii="仿宋" w:hAnsi="仿宋" w:eastAsia="仿宋" w:cs="仿宋"/>
                <w:sz w:val="30"/>
                <w:szCs w:val="30"/>
              </w:rPr>
            </w:pPr>
          </w:p>
        </w:tc>
        <w:tc>
          <w:tcPr>
            <w:tcW w:w="2190" w:type="dxa"/>
            <w:noWrap w:val="0"/>
            <w:vAlign w:val="top"/>
          </w:tcPr>
          <w:p w14:paraId="57819E4A">
            <w:pPr>
              <w:jc w:val="center"/>
              <w:rPr>
                <w:rFonts w:hint="eastAsia" w:ascii="仿宋" w:hAnsi="仿宋" w:eastAsia="仿宋" w:cs="仿宋"/>
                <w:sz w:val="30"/>
                <w:szCs w:val="30"/>
              </w:rPr>
            </w:pPr>
          </w:p>
        </w:tc>
      </w:tr>
      <w:tr w14:paraId="403B6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464F9E97">
            <w:pPr>
              <w:spacing w:before="240" w:after="240"/>
              <w:rPr>
                <w:rFonts w:hint="eastAsia" w:ascii="仿宋" w:hAnsi="仿宋" w:eastAsia="仿宋" w:cs="仿宋"/>
                <w:sz w:val="30"/>
                <w:szCs w:val="30"/>
              </w:rPr>
            </w:pPr>
          </w:p>
        </w:tc>
        <w:tc>
          <w:tcPr>
            <w:tcW w:w="1870" w:type="dxa"/>
            <w:noWrap w:val="0"/>
            <w:vAlign w:val="top"/>
          </w:tcPr>
          <w:p w14:paraId="6FB57586">
            <w:pPr>
              <w:rPr>
                <w:rFonts w:hint="eastAsia" w:ascii="仿宋" w:hAnsi="仿宋" w:eastAsia="仿宋" w:cs="仿宋"/>
                <w:sz w:val="30"/>
                <w:szCs w:val="30"/>
              </w:rPr>
            </w:pPr>
          </w:p>
        </w:tc>
        <w:tc>
          <w:tcPr>
            <w:tcW w:w="1698" w:type="dxa"/>
            <w:noWrap w:val="0"/>
            <w:vAlign w:val="top"/>
          </w:tcPr>
          <w:p w14:paraId="097E3ADB">
            <w:pPr>
              <w:rPr>
                <w:rFonts w:hint="eastAsia" w:ascii="仿宋" w:hAnsi="仿宋" w:eastAsia="仿宋" w:cs="仿宋"/>
                <w:sz w:val="30"/>
                <w:szCs w:val="30"/>
              </w:rPr>
            </w:pPr>
          </w:p>
        </w:tc>
        <w:tc>
          <w:tcPr>
            <w:tcW w:w="1675" w:type="dxa"/>
            <w:noWrap w:val="0"/>
            <w:vAlign w:val="top"/>
          </w:tcPr>
          <w:p w14:paraId="23C53FC3">
            <w:pPr>
              <w:rPr>
                <w:rFonts w:hint="eastAsia" w:ascii="仿宋" w:hAnsi="仿宋" w:eastAsia="仿宋" w:cs="仿宋"/>
                <w:sz w:val="30"/>
                <w:szCs w:val="30"/>
              </w:rPr>
            </w:pPr>
          </w:p>
        </w:tc>
        <w:tc>
          <w:tcPr>
            <w:tcW w:w="2190" w:type="dxa"/>
            <w:noWrap w:val="0"/>
            <w:vAlign w:val="top"/>
          </w:tcPr>
          <w:p w14:paraId="56E7C400">
            <w:pPr>
              <w:jc w:val="center"/>
              <w:rPr>
                <w:rFonts w:hint="eastAsia" w:ascii="仿宋" w:hAnsi="仿宋" w:eastAsia="仿宋" w:cs="仿宋"/>
                <w:sz w:val="30"/>
                <w:szCs w:val="30"/>
              </w:rPr>
            </w:pPr>
          </w:p>
        </w:tc>
      </w:tr>
    </w:tbl>
    <w:p w14:paraId="67FFFAC5">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6DA78720">
      <w:pPr>
        <w:rPr>
          <w:rFonts w:hint="eastAsia" w:ascii="仿宋" w:hAnsi="仿宋" w:eastAsia="仿宋" w:cs="仿宋"/>
          <w:sz w:val="30"/>
          <w:szCs w:val="30"/>
        </w:rPr>
      </w:pPr>
    </w:p>
    <w:p w14:paraId="35883E89">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4760F0F8">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52520169">
      <w:pPr>
        <w:rPr>
          <w:rFonts w:hint="eastAsia" w:ascii="仿宋" w:hAnsi="仿宋" w:eastAsia="仿宋" w:cs="仿宋"/>
          <w:sz w:val="32"/>
          <w:szCs w:val="32"/>
        </w:rPr>
      </w:pPr>
      <w:r>
        <w:rPr>
          <w:rFonts w:hint="eastAsia" w:ascii="仿宋" w:hAnsi="仿宋" w:eastAsia="仿宋" w:cs="仿宋"/>
          <w:sz w:val="32"/>
          <w:szCs w:val="32"/>
        </w:rPr>
        <w:t xml:space="preserve">   </w:t>
      </w:r>
    </w:p>
    <w:p w14:paraId="0096CF73">
      <w:pPr>
        <w:snapToGrid w:val="0"/>
        <w:spacing w:line="360" w:lineRule="auto"/>
        <w:rPr>
          <w:rFonts w:hint="eastAsia" w:ascii="仿宋" w:hAnsi="仿宋" w:eastAsia="仿宋" w:cs="仿宋"/>
          <w:sz w:val="32"/>
          <w:szCs w:val="32"/>
        </w:rPr>
      </w:pPr>
    </w:p>
    <w:p w14:paraId="257704B9">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4CC291F0">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617176F9">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172E56C7">
      <w:pPr>
        <w:ind w:firstLine="0" w:firstLineChars="0"/>
        <w:outlineLvl w:val="1"/>
        <w:rPr>
          <w:rFonts w:hint="eastAsia" w:ascii="仿宋" w:hAnsi="仿宋" w:eastAsia="仿宋" w:cs="仿宋"/>
          <w:color w:val="000000"/>
          <w:sz w:val="44"/>
          <w:szCs w:val="44"/>
          <w:highlight w:val="none"/>
          <w:lang w:eastAsia="zh-CN"/>
        </w:rPr>
      </w:pPr>
      <w:bookmarkStart w:id="102" w:name="_Toc16702"/>
      <w:r>
        <w:rPr>
          <w:rFonts w:hint="eastAsia" w:ascii="仿宋_GB2312" w:hAnsi="仿宋_GB2312" w:eastAsia="仿宋_GB2312" w:cs="仿宋_GB2312"/>
          <w:color w:val="000000"/>
          <w:sz w:val="32"/>
          <w:szCs w:val="32"/>
          <w:highlight w:val="none"/>
          <w:lang w:eastAsia="zh-CN"/>
        </w:rPr>
        <w:br w:type="page"/>
      </w:r>
      <w:bookmarkStart w:id="103"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4"/>
      <w:bookmarkEnd w:id="95"/>
      <w:bookmarkEnd w:id="96"/>
      <w:bookmarkEnd w:id="97"/>
      <w:bookmarkEnd w:id="98"/>
      <w:bookmarkEnd w:id="99"/>
      <w:bookmarkEnd w:id="100"/>
      <w:bookmarkEnd w:id="101"/>
      <w:bookmarkEnd w:id="102"/>
      <w:r>
        <w:rPr>
          <w:rFonts w:hint="eastAsia" w:ascii="仿宋" w:hAnsi="仿宋" w:eastAsia="仿宋" w:cs="仿宋"/>
          <w:color w:val="000000"/>
          <w:sz w:val="32"/>
          <w:szCs w:val="32"/>
          <w:highlight w:val="none"/>
          <w:lang w:val="en-US" w:eastAsia="zh-CN"/>
        </w:rPr>
        <w:t>（格式）</w:t>
      </w:r>
      <w:bookmarkEnd w:id="103"/>
    </w:p>
    <w:p w14:paraId="4E3DADC5">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10C77950">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7DD1F382">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4111522B">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13FFA48D">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5243F72E">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4595B3C2">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6BDA08B2">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1F2A6F98">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35ECD782">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0B7D655F">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63186EE4">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5"/>
      <w:bookmarkStart w:id="104" w:name="_Toc329716302"/>
      <w:bookmarkStart w:id="105" w:name="_Toc472493201"/>
    </w:p>
    <w:p w14:paraId="13863F01">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6E732F61">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04DE7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6" w:name="_Toc472493199"/>
      <w:bookmarkStart w:id="107" w:name="_Toc329716296"/>
      <w:r>
        <w:rPr>
          <w:rFonts w:hint="eastAsia" w:ascii="仿宋" w:hAnsi="仿宋" w:eastAsia="仿宋" w:cs="仿宋"/>
          <w:sz w:val="32"/>
          <w:szCs w:val="32"/>
          <w:highlight w:val="none"/>
        </w:rPr>
        <w:t>（一）投标人资格声明（格式）</w:t>
      </w:r>
      <w:bookmarkEnd w:id="106"/>
      <w:bookmarkEnd w:id="107"/>
    </w:p>
    <w:p w14:paraId="4EFEB8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45C5B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7D2DA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428D3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0E507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2911B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2196E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1032A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72E3E8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7AF68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74D72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7E117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3A46E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57625F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16663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30BE6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2EC2A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6958A47C">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36909E08">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1B7B5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48493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608759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3FFF44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707C7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16DFE1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6B904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5949F0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308D3E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13026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69091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61AB7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1B18BC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6FD87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075010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3CE25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0F038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4AB2F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11C70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4F077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4163C3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6AE2403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753247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1A93F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0571FD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2EC32A0C">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063B8D83">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FA5A0BA">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3B8E6701">
      <w:pPr>
        <w:pStyle w:val="8"/>
        <w:ind w:left="0" w:leftChars="0" w:firstLine="0" w:firstLineChars="0"/>
        <w:rPr>
          <w:rFonts w:hint="eastAsia" w:ascii="仿宋" w:hAnsi="仿宋" w:eastAsia="仿宋" w:cs="仿宋"/>
          <w:highlight w:val="none"/>
        </w:rPr>
      </w:pPr>
    </w:p>
    <w:p w14:paraId="1C3B972A">
      <w:pPr>
        <w:rPr>
          <w:highlight w:val="none"/>
        </w:rPr>
      </w:pPr>
    </w:p>
    <w:p w14:paraId="52D5939B">
      <w:pPr>
        <w:pStyle w:val="8"/>
        <w:rPr>
          <w:highlight w:val="none"/>
        </w:rPr>
      </w:pPr>
    </w:p>
    <w:p w14:paraId="7009DBB8">
      <w:pPr>
        <w:rPr>
          <w:highlight w:val="none"/>
        </w:rPr>
      </w:pPr>
    </w:p>
    <w:p w14:paraId="43AF4EBE">
      <w:pPr>
        <w:pStyle w:val="8"/>
        <w:rPr>
          <w:highlight w:val="none"/>
        </w:rPr>
      </w:pPr>
    </w:p>
    <w:p w14:paraId="7C112B14">
      <w:pPr>
        <w:rPr>
          <w:highlight w:val="none"/>
        </w:rPr>
      </w:pPr>
    </w:p>
    <w:p w14:paraId="05C3DBF9">
      <w:pPr>
        <w:pStyle w:val="8"/>
        <w:rPr>
          <w:highlight w:val="none"/>
        </w:rPr>
      </w:pPr>
    </w:p>
    <w:p w14:paraId="1CE6E577"/>
    <w:bookmarkEnd w:id="104"/>
    <w:bookmarkEnd w:id="105"/>
    <w:p w14:paraId="7FC4D3D8">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5057B484">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2FE2D41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68ECF41C">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6D163B4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4EEDAE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63C04F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9"/>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65C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07BD72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0E06322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3F2AF3E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0F78D65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6EF7353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2F6B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DEC77E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0F7A543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33714F8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3459925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45FE48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49F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115409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1908C5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2ABBEE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E0DACA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2FBC31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585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A0076F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D522B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75AF41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6AAF90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687F4B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9B0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574280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4F274E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0A08F7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70E85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AD518A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625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E71436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EEA9A4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08AC3F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BECFC9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1C9836D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099C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584D45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163F85E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071388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7EB98A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7FEC27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0B58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112B2E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55DE88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1A9F3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A45CF9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919B0C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6C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B2F838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4D17B3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69EBF4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0E5CB9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5CAD6BD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3B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5208E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5E63317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445BD5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72A1E5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541A8A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A44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B1B211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DCA57F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0F38F66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27D4A8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BC88C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0A7AF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0A611331">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13F57E7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0718FEF6">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6265E313">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4D83FF65">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6C2A634F">
      <w:pPr>
        <w:pStyle w:val="8"/>
        <w:ind w:left="0" w:leftChars="0" w:firstLine="0" w:firstLineChars="0"/>
        <w:rPr>
          <w:highlight w:val="none"/>
        </w:rPr>
      </w:pPr>
    </w:p>
    <w:p w14:paraId="4C78D94D">
      <w:pPr>
        <w:pStyle w:val="8"/>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8" w:name="_Toc30307"/>
      <w:bookmarkStart w:id="109" w:name="_Toc26587"/>
    </w:p>
    <w:p w14:paraId="4E3A54E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252FDA8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8"/>
      <w:r>
        <w:rPr>
          <w:rFonts w:hint="eastAsia" w:ascii="仿宋" w:hAnsi="仿宋" w:eastAsia="仿宋" w:cs="仿宋"/>
          <w:color w:val="000000"/>
          <w:sz w:val="32"/>
          <w:szCs w:val="32"/>
          <w:highlight w:val="none"/>
          <w:lang w:eastAsia="zh-CN"/>
        </w:rPr>
        <w:t>（格式）</w:t>
      </w:r>
      <w:bookmarkEnd w:id="109"/>
    </w:p>
    <w:p w14:paraId="125C86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10" w:name="_Toc8935"/>
      <w:bookmarkStart w:id="111" w:name="_Toc32085"/>
      <w:r>
        <w:rPr>
          <w:rFonts w:hint="eastAsia" w:ascii="黑体" w:hAnsi="黑体" w:eastAsia="黑体" w:cs="黑体"/>
          <w:b/>
          <w:color w:val="auto"/>
          <w:sz w:val="40"/>
          <w:szCs w:val="40"/>
          <w:lang w:eastAsia="zh-CN"/>
        </w:rPr>
        <w:t>中车太原机车车辆有限公司</w:t>
      </w:r>
      <w:bookmarkEnd w:id="110"/>
      <w:bookmarkEnd w:id="111"/>
    </w:p>
    <w:p w14:paraId="0CE539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2" w:name="_Toc24230"/>
      <w:bookmarkStart w:id="113" w:name="_Toc14165"/>
      <w:r>
        <w:rPr>
          <w:rFonts w:hint="eastAsia" w:ascii="黑体" w:hAnsi="黑体" w:eastAsia="黑体" w:cs="黑体"/>
          <w:b/>
          <w:color w:val="auto"/>
          <w:sz w:val="40"/>
          <w:szCs w:val="40"/>
          <w:lang w:val="en-US" w:eastAsia="zh-CN"/>
        </w:rPr>
        <w:t>投标人廉洁承诺书</w:t>
      </w:r>
      <w:bookmarkEnd w:id="112"/>
      <w:bookmarkEnd w:id="113"/>
    </w:p>
    <w:p w14:paraId="3FD6FB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7B9F59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2B424E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497E2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4F2F4D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471DB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7B82149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6BBD4BE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_GB2312" w:hAnsi="仿宋_GB2312" w:eastAsia="仿宋_GB2312" w:cs="仿宋_GB2312"/>
          <w:sz w:val="32"/>
          <w:szCs w:val="32"/>
          <w:highlight w:val="none"/>
          <w:lang w:val="en-US" w:eastAsia="zh-CN"/>
        </w:rPr>
        <w:t>0351-2649107</w:t>
      </w:r>
    </w:p>
    <w:p w14:paraId="5CE5A1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4" w:name="_Toc9828"/>
      <w:bookmarkStart w:id="115" w:name="_Toc2449"/>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4"/>
      <w:bookmarkEnd w:id="115"/>
    </w:p>
    <w:p w14:paraId="2839F01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6E967189">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6942DED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05D7CF74">
      <w:pPr>
        <w:pStyle w:val="4"/>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41D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AB6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629C">
    <w:pPr>
      <w:pStyle w:val="7"/>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2B2D">
    <w:pPr>
      <w:pStyle w:val="7"/>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855B0"/>
    <w:rsid w:val="007C7041"/>
    <w:rsid w:val="00BA17B8"/>
    <w:rsid w:val="0141375D"/>
    <w:rsid w:val="028C4341"/>
    <w:rsid w:val="02AC1008"/>
    <w:rsid w:val="033C2760"/>
    <w:rsid w:val="033D34CF"/>
    <w:rsid w:val="0368603E"/>
    <w:rsid w:val="036E740E"/>
    <w:rsid w:val="03A35920"/>
    <w:rsid w:val="040A476F"/>
    <w:rsid w:val="045712B9"/>
    <w:rsid w:val="04F045A3"/>
    <w:rsid w:val="0545493D"/>
    <w:rsid w:val="05B0500E"/>
    <w:rsid w:val="05B6507C"/>
    <w:rsid w:val="06F56D0B"/>
    <w:rsid w:val="07001A12"/>
    <w:rsid w:val="078D4F1C"/>
    <w:rsid w:val="07AE5C3D"/>
    <w:rsid w:val="07F1093F"/>
    <w:rsid w:val="07FB725D"/>
    <w:rsid w:val="080419EC"/>
    <w:rsid w:val="083D1BCF"/>
    <w:rsid w:val="08BB059B"/>
    <w:rsid w:val="08CF4980"/>
    <w:rsid w:val="09851D63"/>
    <w:rsid w:val="0AAD3BF6"/>
    <w:rsid w:val="0B831F37"/>
    <w:rsid w:val="0C674B95"/>
    <w:rsid w:val="0C6A0B1D"/>
    <w:rsid w:val="0CB23C3F"/>
    <w:rsid w:val="0D8252A1"/>
    <w:rsid w:val="0D935DD6"/>
    <w:rsid w:val="0DCF5B34"/>
    <w:rsid w:val="0E4057C9"/>
    <w:rsid w:val="0E4E74B6"/>
    <w:rsid w:val="0E8C4961"/>
    <w:rsid w:val="0EFD46B7"/>
    <w:rsid w:val="112A31A2"/>
    <w:rsid w:val="1151017F"/>
    <w:rsid w:val="115B5037"/>
    <w:rsid w:val="126061F6"/>
    <w:rsid w:val="13451CD0"/>
    <w:rsid w:val="137D1B04"/>
    <w:rsid w:val="13E00960"/>
    <w:rsid w:val="14040BA8"/>
    <w:rsid w:val="14677BB8"/>
    <w:rsid w:val="15AD40FC"/>
    <w:rsid w:val="15E6321E"/>
    <w:rsid w:val="16646B19"/>
    <w:rsid w:val="16791B63"/>
    <w:rsid w:val="16E4553C"/>
    <w:rsid w:val="16E77826"/>
    <w:rsid w:val="17405056"/>
    <w:rsid w:val="1751287D"/>
    <w:rsid w:val="179137D1"/>
    <w:rsid w:val="17AC608E"/>
    <w:rsid w:val="18354ACD"/>
    <w:rsid w:val="19872D9C"/>
    <w:rsid w:val="19945056"/>
    <w:rsid w:val="19D3222B"/>
    <w:rsid w:val="1A953F5D"/>
    <w:rsid w:val="1B2B68BC"/>
    <w:rsid w:val="1BB56A9B"/>
    <w:rsid w:val="1BD35DF3"/>
    <w:rsid w:val="1BDC494B"/>
    <w:rsid w:val="1C447D2A"/>
    <w:rsid w:val="1CA065EB"/>
    <w:rsid w:val="1CFB7676"/>
    <w:rsid w:val="1D211C4B"/>
    <w:rsid w:val="1D552A91"/>
    <w:rsid w:val="1D556C6F"/>
    <w:rsid w:val="1DD54230"/>
    <w:rsid w:val="1DDC0361"/>
    <w:rsid w:val="1EF83325"/>
    <w:rsid w:val="1F59631B"/>
    <w:rsid w:val="1FBF42A8"/>
    <w:rsid w:val="20FF66A5"/>
    <w:rsid w:val="21AF7E50"/>
    <w:rsid w:val="21CF30A6"/>
    <w:rsid w:val="22574A6B"/>
    <w:rsid w:val="22AC5FC5"/>
    <w:rsid w:val="23F34167"/>
    <w:rsid w:val="25A57197"/>
    <w:rsid w:val="25D62EE0"/>
    <w:rsid w:val="265F1AB4"/>
    <w:rsid w:val="26F21887"/>
    <w:rsid w:val="273B0FD8"/>
    <w:rsid w:val="27F143AF"/>
    <w:rsid w:val="28376DC6"/>
    <w:rsid w:val="28595609"/>
    <w:rsid w:val="295F330B"/>
    <w:rsid w:val="298A38B4"/>
    <w:rsid w:val="2ADA01BA"/>
    <w:rsid w:val="2AFE3C0D"/>
    <w:rsid w:val="2B276DF2"/>
    <w:rsid w:val="2CA20B28"/>
    <w:rsid w:val="2DDC7FC1"/>
    <w:rsid w:val="2DF15B96"/>
    <w:rsid w:val="2E60667F"/>
    <w:rsid w:val="2EB42892"/>
    <w:rsid w:val="2ED518A3"/>
    <w:rsid w:val="2F7E75E2"/>
    <w:rsid w:val="300E08F2"/>
    <w:rsid w:val="302A4CF9"/>
    <w:rsid w:val="31FA2703"/>
    <w:rsid w:val="323863D8"/>
    <w:rsid w:val="326F409D"/>
    <w:rsid w:val="32B17D30"/>
    <w:rsid w:val="335F1F40"/>
    <w:rsid w:val="33A17370"/>
    <w:rsid w:val="34312BB9"/>
    <w:rsid w:val="34353047"/>
    <w:rsid w:val="344445F1"/>
    <w:rsid w:val="346552B4"/>
    <w:rsid w:val="347B2FEE"/>
    <w:rsid w:val="350B2140"/>
    <w:rsid w:val="357F6824"/>
    <w:rsid w:val="35C725BA"/>
    <w:rsid w:val="35F07D92"/>
    <w:rsid w:val="36357CFE"/>
    <w:rsid w:val="36443517"/>
    <w:rsid w:val="365D5DC9"/>
    <w:rsid w:val="36840042"/>
    <w:rsid w:val="36ED6E77"/>
    <w:rsid w:val="3761290A"/>
    <w:rsid w:val="38934DB5"/>
    <w:rsid w:val="38CA6562"/>
    <w:rsid w:val="393C1315"/>
    <w:rsid w:val="39AE5431"/>
    <w:rsid w:val="39DD1C87"/>
    <w:rsid w:val="3ABE4BC5"/>
    <w:rsid w:val="3BBD5E17"/>
    <w:rsid w:val="3C340758"/>
    <w:rsid w:val="3C73358F"/>
    <w:rsid w:val="3CE91228"/>
    <w:rsid w:val="3DC57C84"/>
    <w:rsid w:val="3F02185C"/>
    <w:rsid w:val="3F026B7D"/>
    <w:rsid w:val="3F3F613E"/>
    <w:rsid w:val="3F9B6559"/>
    <w:rsid w:val="401B7E79"/>
    <w:rsid w:val="402A52E8"/>
    <w:rsid w:val="40A22884"/>
    <w:rsid w:val="41390FBC"/>
    <w:rsid w:val="42ED2948"/>
    <w:rsid w:val="430D1902"/>
    <w:rsid w:val="431743BD"/>
    <w:rsid w:val="43405E84"/>
    <w:rsid w:val="43BF68D1"/>
    <w:rsid w:val="445F1653"/>
    <w:rsid w:val="462546DD"/>
    <w:rsid w:val="46EC4849"/>
    <w:rsid w:val="470E0EC1"/>
    <w:rsid w:val="47247744"/>
    <w:rsid w:val="47BC1AC4"/>
    <w:rsid w:val="47BC3A0A"/>
    <w:rsid w:val="48247129"/>
    <w:rsid w:val="49930D0B"/>
    <w:rsid w:val="4A9B655C"/>
    <w:rsid w:val="4ABF56A3"/>
    <w:rsid w:val="4C042900"/>
    <w:rsid w:val="4C1E5C03"/>
    <w:rsid w:val="4C2963E4"/>
    <w:rsid w:val="4C437A23"/>
    <w:rsid w:val="4D31610A"/>
    <w:rsid w:val="4D3E4614"/>
    <w:rsid w:val="4D4B2507"/>
    <w:rsid w:val="4D641A66"/>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3DE4926"/>
    <w:rsid w:val="54341FDF"/>
    <w:rsid w:val="543F51DC"/>
    <w:rsid w:val="54C536E6"/>
    <w:rsid w:val="54D50FAA"/>
    <w:rsid w:val="554B6078"/>
    <w:rsid w:val="55671D41"/>
    <w:rsid w:val="56256ACF"/>
    <w:rsid w:val="562C4783"/>
    <w:rsid w:val="56637792"/>
    <w:rsid w:val="56AA65FE"/>
    <w:rsid w:val="57BE6995"/>
    <w:rsid w:val="57ED3505"/>
    <w:rsid w:val="582E5BF8"/>
    <w:rsid w:val="58877785"/>
    <w:rsid w:val="59965F5C"/>
    <w:rsid w:val="5A426F45"/>
    <w:rsid w:val="5A5F4EBF"/>
    <w:rsid w:val="5AA653AB"/>
    <w:rsid w:val="5C3345A6"/>
    <w:rsid w:val="5C563B16"/>
    <w:rsid w:val="5C8A55CA"/>
    <w:rsid w:val="5C8B602D"/>
    <w:rsid w:val="5D5436D4"/>
    <w:rsid w:val="5DFD775B"/>
    <w:rsid w:val="5E2939C1"/>
    <w:rsid w:val="5E4D33E1"/>
    <w:rsid w:val="5ED0407F"/>
    <w:rsid w:val="5FB828E0"/>
    <w:rsid w:val="60093CA2"/>
    <w:rsid w:val="60D921D8"/>
    <w:rsid w:val="60E003D2"/>
    <w:rsid w:val="60E22C21"/>
    <w:rsid w:val="620A5B81"/>
    <w:rsid w:val="62E4632A"/>
    <w:rsid w:val="640E6F52"/>
    <w:rsid w:val="6434378E"/>
    <w:rsid w:val="64403D51"/>
    <w:rsid w:val="65294397"/>
    <w:rsid w:val="65D213AA"/>
    <w:rsid w:val="65E159EE"/>
    <w:rsid w:val="671C11A5"/>
    <w:rsid w:val="67A77D71"/>
    <w:rsid w:val="6877128A"/>
    <w:rsid w:val="68A92E53"/>
    <w:rsid w:val="68B356FE"/>
    <w:rsid w:val="69B7385F"/>
    <w:rsid w:val="6A140369"/>
    <w:rsid w:val="6A1C1656"/>
    <w:rsid w:val="6A2331F1"/>
    <w:rsid w:val="6AA777E3"/>
    <w:rsid w:val="6B8F78E0"/>
    <w:rsid w:val="6BA31DC6"/>
    <w:rsid w:val="6C6B23BA"/>
    <w:rsid w:val="6CC977A1"/>
    <w:rsid w:val="6CD2210D"/>
    <w:rsid w:val="6D1B5C6F"/>
    <w:rsid w:val="6D4437CC"/>
    <w:rsid w:val="6F24535A"/>
    <w:rsid w:val="6F4C5FEB"/>
    <w:rsid w:val="6F5032C9"/>
    <w:rsid w:val="6FFA5B96"/>
    <w:rsid w:val="700B2067"/>
    <w:rsid w:val="71E2661A"/>
    <w:rsid w:val="730D14B8"/>
    <w:rsid w:val="73E12648"/>
    <w:rsid w:val="74591A53"/>
    <w:rsid w:val="753A1CAA"/>
    <w:rsid w:val="75954639"/>
    <w:rsid w:val="759A46D2"/>
    <w:rsid w:val="75D655C2"/>
    <w:rsid w:val="75E34852"/>
    <w:rsid w:val="76714A3E"/>
    <w:rsid w:val="7721245E"/>
    <w:rsid w:val="774308DD"/>
    <w:rsid w:val="785B0185"/>
    <w:rsid w:val="78F36A54"/>
    <w:rsid w:val="79206434"/>
    <w:rsid w:val="7B3B24DB"/>
    <w:rsid w:val="7B51019A"/>
    <w:rsid w:val="7B6B3225"/>
    <w:rsid w:val="7D310F0F"/>
    <w:rsid w:val="7D362357"/>
    <w:rsid w:val="7D5A7F00"/>
    <w:rsid w:val="7D800163"/>
    <w:rsid w:val="7D9F51AA"/>
    <w:rsid w:val="7DB91015"/>
    <w:rsid w:val="7DC542A5"/>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5">
    <w:name w:val="Body Text Indent"/>
    <w:basedOn w:val="1"/>
    <w:unhideWhenUsed/>
    <w:qFormat/>
    <w:uiPriority w:val="99"/>
    <w:pPr>
      <w:spacing w:after="120"/>
      <w:ind w:left="420" w:leftChars="200"/>
    </w:pPr>
    <w:rPr>
      <w:rFonts w:ascii="Calibri" w:hAnsi="Calibri"/>
      <w:kern w:val="0"/>
      <w:sz w:val="20"/>
      <w:szCs w:val="20"/>
    </w:rPr>
  </w:style>
  <w:style w:type="paragraph" w:styleId="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paragraph" w:customStyle="1" w:styleId="13">
    <w:name w:val="表格文字"/>
    <w:basedOn w:val="1"/>
    <w:next w:val="3"/>
    <w:qFormat/>
    <w:uiPriority w:val="0"/>
    <w:pPr>
      <w:spacing w:before="25" w:after="25"/>
      <w:jc w:val="left"/>
    </w:pPr>
    <w:rPr>
      <w:bCs/>
      <w:spacing w:val="10"/>
      <w:kern w:val="0"/>
      <w:sz w:val="24"/>
    </w:rPr>
  </w:style>
  <w:style w:type="paragraph" w:customStyle="1" w:styleId="1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2025-03-25T06:34:00Z</cp:lastPrinted>
  <dcterms:modified xsi:type="dcterms:W3CDTF">2025-12-30T10:27:28Z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AAD1776226964CA19134893665683D78_12</vt:lpwstr>
  </property>
</Properties>
</file>