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黑体" w:hAnsi="黑体" w:eastAsia="黑体" w:cs="黑体"/>
          <w:b/>
          <w:bCs/>
          <w:color w:val="auto"/>
          <w:sz w:val="44"/>
          <w:highlight w:val="none"/>
        </w:rPr>
      </w:pPr>
      <w:r>
        <w:rPr>
          <w:rFonts w:hint="eastAsia" w:ascii="黑体" w:hAnsi="黑体" w:eastAsia="黑体" w:cs="黑体"/>
          <w:b/>
          <w:bCs/>
          <w:color w:val="auto"/>
          <w:sz w:val="44"/>
          <w:highlight w:val="none"/>
          <w:lang w:eastAsia="zh-CN"/>
        </w:rPr>
        <w:t>供货需求</w:t>
      </w:r>
    </w:p>
    <w:p>
      <w:pPr>
        <w:adjustRightInd w:val="0"/>
        <w:snapToGrid w:val="0"/>
        <w:spacing w:line="460" w:lineRule="atLeast"/>
        <w:jc w:val="left"/>
        <w:outlineLvl w:val="1"/>
        <w:rPr>
          <w:rFonts w:hint="eastAsia" w:ascii="宋体" w:hAnsi="宋体" w:eastAsia="宋体" w:cs="宋体"/>
          <w:b/>
          <w:color w:val="auto"/>
          <w:sz w:val="24"/>
          <w:szCs w:val="24"/>
          <w:highlight w:val="none"/>
          <w:lang w:val="en-US" w:eastAsia="zh-CN"/>
        </w:rPr>
      </w:pPr>
      <w:bookmarkStart w:id="0" w:name="_Toc16386"/>
    </w:p>
    <w:p>
      <w:pPr>
        <w:adjustRightInd w:val="0"/>
        <w:snapToGrid w:val="0"/>
        <w:spacing w:line="460" w:lineRule="atLeast"/>
        <w:jc w:val="left"/>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en-US" w:eastAsia="zh-CN"/>
        </w:rPr>
        <w:t>一</w:t>
      </w:r>
      <w:r>
        <w:rPr>
          <w:rFonts w:hint="eastAsia" w:ascii="宋体" w:hAnsi="宋体" w:eastAsia="宋体" w:cs="宋体"/>
          <w:b/>
          <w:color w:val="auto"/>
          <w:sz w:val="24"/>
          <w:szCs w:val="24"/>
          <w:highlight w:val="none"/>
        </w:rPr>
        <w:t>、货物需求一览表</w:t>
      </w:r>
      <w:bookmarkEnd w:id="0"/>
    </w:p>
    <w:p>
      <w:pPr>
        <w:adjustRightInd w:val="0"/>
        <w:snapToGrid w:val="0"/>
        <w:spacing w:line="460" w:lineRule="atLeast"/>
        <w:ind w:left="200"/>
        <w:jc w:val="center"/>
        <w:rPr>
          <w:rFonts w:hint="eastAsia" w:ascii="宋体" w:hAnsi="宋体" w:eastAsia="宋体" w:cs="宋体"/>
          <w:b/>
          <w:bCs/>
          <w:color w:val="auto"/>
          <w:sz w:val="24"/>
          <w:szCs w:val="24"/>
          <w:highlight w:val="none"/>
        </w:rPr>
      </w:pPr>
    </w:p>
    <w:tbl>
      <w:tblPr>
        <w:tblStyle w:val="5"/>
        <w:tblW w:w="919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119"/>
        <w:gridCol w:w="677"/>
        <w:gridCol w:w="676"/>
        <w:gridCol w:w="1893"/>
        <w:gridCol w:w="1758"/>
        <w:gridCol w:w="1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2" w:hRule="atLeast"/>
        </w:trPr>
        <w:tc>
          <w:tcPr>
            <w:tcW w:w="614" w:type="dxa"/>
            <w:tcBorders>
              <w:top w:val="single" w:color="auto" w:sz="12" w:space="0"/>
              <w:bottom w:val="single" w:color="auto" w:sz="4" w:space="0"/>
            </w:tcBorders>
            <w:shd w:val="clear" w:color="auto" w:fill="F3F3F3"/>
            <w:noWrap w:val="0"/>
            <w:textDirection w:val="tbRlV"/>
            <w:vAlign w:val="center"/>
          </w:tcPr>
          <w:p>
            <w:pPr>
              <w:pStyle w:val="4"/>
              <w:ind w:left="113"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19" w:type="dxa"/>
            <w:tcBorders>
              <w:top w:val="single" w:color="auto" w:sz="12" w:space="0"/>
              <w:bottom w:val="single" w:color="auto" w:sz="4" w:space="0"/>
            </w:tcBorders>
            <w:shd w:val="clear" w:color="auto" w:fill="F3F3F3"/>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货物名称</w:t>
            </w:r>
          </w:p>
        </w:tc>
        <w:tc>
          <w:tcPr>
            <w:tcW w:w="677" w:type="dxa"/>
            <w:tcBorders>
              <w:top w:val="single" w:color="auto" w:sz="12" w:space="0"/>
              <w:bottom w:val="single" w:color="auto" w:sz="4" w:space="0"/>
            </w:tcBorders>
            <w:shd w:val="clear" w:color="auto" w:fill="F3F3F3"/>
            <w:noWrap w:val="0"/>
            <w:textDirection w:val="tbRlV"/>
            <w:vAlign w:val="center"/>
          </w:tcPr>
          <w:p>
            <w:pPr>
              <w:pStyle w:val="4"/>
              <w:ind w:left="113"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76" w:type="dxa"/>
            <w:tcBorders>
              <w:top w:val="single" w:color="auto" w:sz="12" w:space="0"/>
              <w:bottom w:val="single" w:color="auto" w:sz="4" w:space="0"/>
            </w:tcBorders>
            <w:shd w:val="clear" w:color="auto" w:fill="F3F3F3"/>
            <w:noWrap w:val="0"/>
            <w:textDirection w:val="tbRlV"/>
            <w:vAlign w:val="center"/>
          </w:tcPr>
          <w:p>
            <w:pPr>
              <w:pStyle w:val="4"/>
              <w:ind w:left="113" w:right="11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93" w:type="dxa"/>
            <w:tcBorders>
              <w:top w:val="single" w:color="auto" w:sz="12" w:space="0"/>
              <w:bottom w:val="single" w:color="auto" w:sz="4" w:space="0"/>
            </w:tcBorders>
            <w:shd w:val="clear" w:color="auto" w:fill="F3F3F3"/>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主要技术规格</w:t>
            </w:r>
          </w:p>
        </w:tc>
        <w:tc>
          <w:tcPr>
            <w:tcW w:w="1758" w:type="dxa"/>
            <w:tcBorders>
              <w:top w:val="single" w:color="auto" w:sz="12" w:space="0"/>
              <w:bottom w:val="single" w:color="auto" w:sz="4" w:space="0"/>
            </w:tcBorders>
            <w:shd w:val="clear" w:color="auto" w:fill="F3F3F3"/>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交货期</w:t>
            </w:r>
          </w:p>
        </w:tc>
        <w:tc>
          <w:tcPr>
            <w:tcW w:w="1459" w:type="dxa"/>
            <w:tcBorders>
              <w:top w:val="single" w:color="auto" w:sz="12" w:space="0"/>
              <w:bottom w:val="single" w:color="auto" w:sz="4" w:space="0"/>
            </w:tcBorders>
            <w:shd w:val="clear" w:color="auto" w:fill="F3F3F3"/>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到货地点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245" w:hRule="atLeast"/>
        </w:trPr>
        <w:tc>
          <w:tcPr>
            <w:tcW w:w="614" w:type="dxa"/>
            <w:tcBorders>
              <w:top w:val="single" w:color="auto" w:sz="4" w:space="0"/>
              <w:bottom w:val="single" w:color="auto" w:sz="4" w:space="0"/>
            </w:tcBorders>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19" w:type="dxa"/>
            <w:tcBorders>
              <w:top w:val="single" w:color="auto" w:sz="4" w:space="0"/>
              <w:bottom w:val="single" w:color="auto" w:sz="4" w:space="0"/>
            </w:tcBorders>
            <w:noWrap w:val="0"/>
            <w:vAlign w:val="center"/>
          </w:tcPr>
          <w:p>
            <w:pPr>
              <w:widowControl/>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设备润滑油（脂）、切削液等油品</w:t>
            </w:r>
            <w:r>
              <w:rPr>
                <w:rFonts w:hint="eastAsia" w:ascii="宋体" w:hAnsi="宋体" w:eastAsia="宋体" w:cs="宋体"/>
                <w:color w:val="auto"/>
                <w:sz w:val="24"/>
                <w:szCs w:val="24"/>
                <w:highlight w:val="none"/>
                <w:lang w:eastAsia="zh-CN"/>
              </w:rPr>
              <w:t>等</w:t>
            </w:r>
          </w:p>
        </w:tc>
        <w:tc>
          <w:tcPr>
            <w:tcW w:w="677" w:type="dxa"/>
            <w:tcBorders>
              <w:top w:val="single" w:color="auto" w:sz="4" w:space="0"/>
              <w:bottom w:val="single" w:color="auto" w:sz="4" w:space="0"/>
            </w:tcBorders>
            <w:noWrap w:val="0"/>
            <w:vAlign w:val="center"/>
          </w:tcPr>
          <w:p>
            <w:pPr>
              <w:pStyle w:val="4"/>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批</w:t>
            </w:r>
          </w:p>
        </w:tc>
        <w:tc>
          <w:tcPr>
            <w:tcW w:w="676" w:type="dxa"/>
            <w:tcBorders>
              <w:top w:val="single" w:color="auto" w:sz="4" w:space="0"/>
              <w:bottom w:val="single" w:color="auto" w:sz="4" w:space="0"/>
            </w:tcBorders>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93" w:type="dxa"/>
            <w:tcBorders>
              <w:top w:val="single" w:color="auto" w:sz="4" w:space="0"/>
              <w:bottom w:val="single" w:color="auto" w:sz="4" w:space="0"/>
            </w:tcBorders>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w:t>
            </w:r>
          </w:p>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二、技术规格</w:t>
            </w:r>
          </w:p>
        </w:tc>
        <w:tc>
          <w:tcPr>
            <w:tcW w:w="1758"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80" w:lineRule="exact"/>
              <w:ind w:left="12" w:leftChars="0" w:right="-53" w:rightChars="-25" w:hanging="12" w:hangingChars="5"/>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交货分批次进行，批次不限，由</w:t>
            </w:r>
            <w:r>
              <w:rPr>
                <w:rFonts w:hint="eastAsia" w:ascii="宋体" w:hAnsi="宋体" w:eastAsia="宋体" w:cs="宋体"/>
                <w:color w:val="auto"/>
                <w:sz w:val="24"/>
                <w:szCs w:val="24"/>
                <w:highlight w:val="none"/>
                <w:lang w:eastAsia="zh-CN"/>
              </w:rPr>
              <w:t>供货</w:t>
            </w:r>
            <w:r>
              <w:rPr>
                <w:rFonts w:hint="eastAsia" w:ascii="宋体" w:hAnsi="宋体" w:eastAsia="宋体" w:cs="宋体"/>
                <w:color w:val="auto"/>
                <w:sz w:val="24"/>
                <w:szCs w:val="24"/>
                <w:highlight w:val="none"/>
              </w:rPr>
              <w:t>方按</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的供货</w:t>
            </w:r>
            <w:r>
              <w:rPr>
                <w:rFonts w:hint="eastAsia" w:ascii="宋体" w:hAnsi="宋体" w:eastAsia="宋体" w:cs="宋体"/>
                <w:color w:val="auto"/>
                <w:sz w:val="24"/>
                <w:szCs w:val="24"/>
                <w:highlight w:val="none"/>
              </w:rPr>
              <w:t>需求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在指定时间内将指定物品送至指定位置。</w:t>
            </w:r>
            <w:r>
              <w:rPr>
                <w:rFonts w:hint="eastAsia" w:ascii="宋体" w:hAnsi="宋体" w:eastAsia="宋体" w:cs="宋体"/>
                <w:color w:val="auto"/>
                <w:sz w:val="24"/>
                <w:szCs w:val="24"/>
                <w:highlight w:val="none"/>
                <w:lang w:eastAsia="zh-CN"/>
              </w:rPr>
              <w:t>此次单价招标有</w:t>
            </w:r>
            <w:r>
              <w:rPr>
                <w:rFonts w:hint="eastAsia" w:ascii="宋体" w:hAnsi="宋体" w:eastAsia="宋体" w:cs="宋体"/>
                <w:color w:val="auto"/>
                <w:sz w:val="24"/>
                <w:szCs w:val="24"/>
                <w:highlight w:val="none"/>
              </w:rPr>
              <w:t>期限为</w:t>
            </w:r>
            <w:r>
              <w:rPr>
                <w:rFonts w:hint="eastAsia" w:ascii="宋体" w:hAnsi="宋体" w:eastAsia="宋体" w:cs="宋体"/>
                <w:color w:val="auto"/>
                <w:sz w:val="24"/>
                <w:szCs w:val="24"/>
                <w:highlight w:val="none"/>
                <w:lang w:val="en-US" w:eastAsia="zh-CN"/>
              </w:rPr>
              <w:t>2022年1月1日</w:t>
            </w:r>
            <w:r>
              <w:rPr>
                <w:rFonts w:hint="eastAsia" w:ascii="宋体" w:hAnsi="宋体" w:eastAsia="宋体" w:cs="宋体"/>
                <w:color w:val="auto"/>
                <w:sz w:val="24"/>
                <w:szCs w:val="24"/>
                <w:highlight w:val="none"/>
              </w:rPr>
              <w:t>起至</w:t>
            </w:r>
            <w:r>
              <w:rPr>
                <w:rFonts w:hint="eastAsia" w:ascii="宋体" w:hAnsi="宋体" w:eastAsia="宋体" w:cs="宋体"/>
                <w:color w:val="auto"/>
                <w:sz w:val="24"/>
                <w:szCs w:val="24"/>
                <w:highlight w:val="none"/>
                <w:lang w:val="en-US" w:eastAsia="zh-CN"/>
              </w:rPr>
              <w:t>2023</w:t>
            </w:r>
            <w:r>
              <w:rPr>
                <w:rFonts w:hint="eastAsia" w:ascii="宋体" w:hAnsi="宋体" w:eastAsia="宋体" w:cs="宋体"/>
                <w:color w:val="auto"/>
                <w:sz w:val="24"/>
                <w:szCs w:val="24"/>
                <w:highlight w:val="none"/>
              </w:rPr>
              <w:t>年12月31日止。</w:t>
            </w:r>
          </w:p>
        </w:tc>
        <w:tc>
          <w:tcPr>
            <w:tcW w:w="1459" w:type="dxa"/>
            <w:tcBorders>
              <w:top w:val="single" w:color="auto" w:sz="4" w:space="0"/>
              <w:bottom w:val="single" w:color="auto" w:sz="4" w:space="0"/>
            </w:tcBorders>
            <w:noWrap w:val="0"/>
            <w:vAlign w:val="center"/>
          </w:tcPr>
          <w:p>
            <w:pPr>
              <w:pStyle w:val="4"/>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买方现场</w:t>
            </w:r>
          </w:p>
        </w:tc>
      </w:tr>
    </w:tbl>
    <w:p>
      <w:pPr>
        <w:adjustRightInd w:val="0"/>
        <w:snapToGrid w:val="0"/>
        <w:spacing w:line="360" w:lineRule="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jc w:val="both"/>
        <w:textAlignment w:val="auto"/>
        <w:rPr>
          <w:rFonts w:hint="eastAsia" w:ascii="宋体" w:hAnsi="宋体" w:eastAsia="宋体" w:cs="宋体"/>
          <w:b/>
          <w:color w:val="auto"/>
          <w:sz w:val="24"/>
          <w:szCs w:val="24"/>
          <w:highlight w:val="none"/>
          <w:lang w:val="en-US" w:eastAsia="zh-CN"/>
        </w:rPr>
      </w:pPr>
      <w:bookmarkStart w:id="1" w:name="_Toc1137"/>
      <w:r>
        <w:rPr>
          <w:rFonts w:hint="eastAsia" w:ascii="宋体" w:hAnsi="宋体" w:eastAsia="宋体" w:cs="宋体"/>
          <w:b/>
          <w:bCs/>
          <w:color w:val="auto"/>
          <w:sz w:val="24"/>
          <w:szCs w:val="24"/>
          <w:highlight w:val="none"/>
        </w:rPr>
        <w:br w:type="page"/>
      </w:r>
      <w:r>
        <w:rPr>
          <w:rFonts w:hint="eastAsia" w:ascii="宋体" w:hAnsi="宋体" w:eastAsia="宋体" w:cs="宋体"/>
          <w:b/>
          <w:color w:val="auto"/>
          <w:sz w:val="24"/>
          <w:szCs w:val="24"/>
          <w:highlight w:val="none"/>
          <w:lang w:val="en-US" w:eastAsia="zh-CN"/>
        </w:rPr>
        <w:t xml:space="preserve">二、 </w:t>
      </w:r>
      <w:bookmarkEnd w:id="1"/>
      <w:r>
        <w:rPr>
          <w:rFonts w:hint="eastAsia" w:ascii="宋体" w:hAnsi="宋体" w:eastAsia="宋体" w:cs="宋体"/>
          <w:b/>
          <w:color w:val="auto"/>
          <w:sz w:val="24"/>
          <w:szCs w:val="24"/>
          <w:highlight w:val="none"/>
          <w:lang w:val="en-US" w:eastAsia="zh-CN"/>
        </w:rPr>
        <w:t>技 术 规 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 备件明细及技术参数</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用于加工中心、镗铣床、起重机等机械动力设备的日常润滑、保养等油品。</w:t>
      </w:r>
      <w:r>
        <w:rPr>
          <w:rFonts w:hint="eastAsia" w:ascii="宋体" w:hAnsi="宋体"/>
          <w:color w:val="auto"/>
          <w:sz w:val="24"/>
          <w:highlight w:val="none"/>
          <w:lang w:val="en-US" w:eastAsia="zh-CN"/>
        </w:rPr>
        <w:t>投标单位严格按表内的品牌、规格型号或货号、包装大小报价，报价为含税单价。</w:t>
      </w:r>
    </w:p>
    <w:p>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提供正品润滑油、切削液等油品，油品质量必须符合国家相关标准或产品手册要求，若有不合格品，供应商免费调换或无条件退货，产品在使用过程中，若因投标方产品质量问题给采购方造成经济损失的投标方应负责赔偿。</w:t>
      </w:r>
    </w:p>
    <w:p>
      <w:pPr>
        <w:pStyle w:val="3"/>
        <w:pageBreakBefore w:val="0"/>
        <w:widowControl w:val="0"/>
        <w:tabs>
          <w:tab w:val="left" w:pos="420"/>
        </w:tabs>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设备用润滑油、润滑脂及切削液等备件清单</w:t>
      </w:r>
    </w:p>
    <w:tbl>
      <w:tblPr>
        <w:tblStyle w:val="5"/>
        <w:tblW w:w="9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74"/>
        <w:gridCol w:w="1580"/>
        <w:gridCol w:w="2383"/>
        <w:gridCol w:w="2587"/>
        <w:gridCol w:w="1198"/>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74" w:type="dxa"/>
            <w:vMerge w:val="restart"/>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580"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物料编号</w:t>
            </w:r>
          </w:p>
        </w:tc>
        <w:tc>
          <w:tcPr>
            <w:tcW w:w="2383"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物料名称</w:t>
            </w:r>
          </w:p>
        </w:tc>
        <w:tc>
          <w:tcPr>
            <w:tcW w:w="2587" w:type="dxa"/>
            <w:vMerge w:val="restart"/>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规格型号</w:t>
            </w:r>
          </w:p>
        </w:tc>
        <w:tc>
          <w:tcPr>
            <w:tcW w:w="1198"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品牌</w:t>
            </w:r>
          </w:p>
        </w:tc>
        <w:tc>
          <w:tcPr>
            <w:tcW w:w="688" w:type="dxa"/>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74" w:type="dxa"/>
            <w:vMerge w:val="continue"/>
            <w:tcBorders>
              <w:top w:val="single" w:color="000000" w:sz="12" w:space="0"/>
              <w:left w:val="single" w:color="000000" w:sz="12"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0"/>
                <w:szCs w:val="20"/>
                <w:highlight w:val="none"/>
                <w:u w:val="none"/>
              </w:rPr>
            </w:pPr>
          </w:p>
        </w:tc>
        <w:tc>
          <w:tcPr>
            <w:tcW w:w="1580" w:type="dxa"/>
            <w:vMerge w:val="continue"/>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0"/>
                <w:szCs w:val="20"/>
                <w:highlight w:val="none"/>
                <w:u w:val="none"/>
              </w:rPr>
            </w:pPr>
          </w:p>
        </w:tc>
        <w:tc>
          <w:tcPr>
            <w:tcW w:w="2383" w:type="dxa"/>
            <w:vMerge w:val="continue"/>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0"/>
                <w:szCs w:val="20"/>
                <w:highlight w:val="none"/>
                <w:u w:val="none"/>
              </w:rPr>
            </w:pPr>
          </w:p>
        </w:tc>
        <w:tc>
          <w:tcPr>
            <w:tcW w:w="2587" w:type="dxa"/>
            <w:vMerge w:val="continue"/>
            <w:tcBorders>
              <w:top w:val="single" w:color="000000" w:sz="12"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color w:val="auto"/>
                <w:sz w:val="20"/>
                <w:szCs w:val="20"/>
                <w:highlight w:val="none"/>
                <w:u w:val="none"/>
              </w:rPr>
            </w:pPr>
          </w:p>
        </w:tc>
        <w:tc>
          <w:tcPr>
            <w:tcW w:w="119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（制造厂家）</w:t>
            </w:r>
          </w:p>
        </w:tc>
        <w:tc>
          <w:tcPr>
            <w:tcW w:w="688" w:type="dxa"/>
            <w:tcBorders>
              <w:top w:val="single" w:color="000000" w:sz="4" w:space="0"/>
              <w:left w:val="single" w:color="000000" w:sz="4" w:space="0"/>
              <w:bottom w:val="single" w:color="000000" w:sz="4" w:space="0"/>
              <w:right w:val="single" w:color="000000" w:sz="12"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420800033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极压锂基脂（15KG/桶）</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长城2号</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420800052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攻丝油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18升/桶（长城）</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420800071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工业闭式齿轮油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L-CKC150 208L/桶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420800072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46号  208L/桶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420800073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32号  208L/桶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420800074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3号钙基润滑脂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3号  18L/桶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420800075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46号  18L/桶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420800094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CKC220齿轮油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长城CKC220 170KG/桶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420800095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柴油机油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长城尊龙T400 170KG/桶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420800098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LH-30齿轮油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 170KG/桶 LH-30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420800099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极压锂基脂（15KG/桶）</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长城1号</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极压锂基脂（15KG/桶）</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长城3号</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420800006</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威达4号 导轨润滑油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VACTRA OIL NO.4  18L/桶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420800089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全合成机油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美孚黑霸王1号5W-40，20L/桶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420800117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美孚32号 15KG/桶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420800123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46号抗磨液压油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美孚L-HM46 208L/桶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420800213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Mobil SHC 626 20L/桶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420800210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美孚维萝斯6号</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MOBIL VELOCITE OIL NO.6 18升/桶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420800156</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美孚柴机油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CH15W-40  4L/桶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美孚机油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15W-40 18L/桶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美孚防冻液</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零下20℃ 4L/桶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420800082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昆仑Va46L-TSA汽轮机油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昆仑L-TSA汽轮机油 VA46  208L/桶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昆仑</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420800160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自动润滑油罐（含润滑油）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LUBR IMP GRA 1kg/罐</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克鲁勃</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420800019</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克鲁勃润滑油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NBU 12/300KP 1KG/罐</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克鲁勃</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420800124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克鲁勃润滑脂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NBU 12 1KG/罐</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克鲁勃</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420800040</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壳牌G68号液压油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20L/桶 壳牌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420800042</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壳牌G68号导轨油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20L/桶 壳牌</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420800177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壳牌68号抗磨液压油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壳牌T68 20L/桶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壳牌</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420800105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防锈油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PSA-04 20L/桶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华阳恩赛</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420800168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重油污清洗剂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TF-350 25KG/桶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国产</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31</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420800055</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福斯VP1021工业清洗剂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福斯VP1021 20L/桶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420800097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福斯VP1021工业清洗剂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福斯VP1021 200KG/桶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福斯</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420800153</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强力水性清洗剂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恩第-150 25KG/桶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恩第-150</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420800154</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乳化液切削液</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德润宝EmulcutS50 208L /桶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德润宝</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420800157</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真空泵油</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LVO-120 5L/桶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德国莱宝</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420800101</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润滑脂</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MOLYDUVAL Pegasus LKA 2  1kg/桶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德国MOLYDUVAL</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37</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420800148</w:t>
            </w:r>
          </w:p>
        </w:tc>
        <w:tc>
          <w:tcPr>
            <w:tcW w:w="23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真空泵油GS-1</w:t>
            </w:r>
          </w:p>
        </w:tc>
        <w:tc>
          <w:tcPr>
            <w:tcW w:w="25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3.5kg/桶</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北京四方</w:t>
            </w:r>
          </w:p>
        </w:tc>
        <w:tc>
          <w:tcPr>
            <w:tcW w:w="688"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574" w:type="dxa"/>
            <w:tcBorders>
              <w:top w:val="single" w:color="000000" w:sz="4" w:space="0"/>
              <w:left w:val="single" w:color="000000" w:sz="12"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w:t>
            </w:r>
          </w:p>
        </w:tc>
        <w:tc>
          <w:tcPr>
            <w:tcW w:w="158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420800110</w:t>
            </w:r>
          </w:p>
        </w:tc>
        <w:tc>
          <w:tcPr>
            <w:tcW w:w="238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防冻液</w:t>
            </w:r>
          </w:p>
        </w:tc>
        <w:tc>
          <w:tcPr>
            <w:tcW w:w="258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蓝星-25℃，18KG/桶</w:t>
            </w:r>
          </w:p>
        </w:tc>
        <w:tc>
          <w:tcPr>
            <w:tcW w:w="119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北京蓝星</w:t>
            </w:r>
          </w:p>
        </w:tc>
        <w:tc>
          <w:tcPr>
            <w:tcW w:w="688" w:type="dxa"/>
            <w:tcBorders>
              <w:top w:val="single" w:color="000000" w:sz="4" w:space="0"/>
              <w:left w:val="single" w:color="000000" w:sz="4" w:space="0"/>
              <w:bottom w:val="single" w:color="auto" w:sz="4" w:space="0"/>
              <w:right w:val="single" w:color="000000" w:sz="12"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5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新品</w:t>
            </w:r>
          </w:p>
        </w:tc>
        <w:tc>
          <w:tcPr>
            <w:tcW w:w="23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真空泵油</w:t>
            </w:r>
          </w:p>
        </w:tc>
        <w:tc>
          <w:tcPr>
            <w:tcW w:w="2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LVO-130 5L/桶</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德国莱宝</w:t>
            </w:r>
          </w:p>
        </w:tc>
        <w:tc>
          <w:tcPr>
            <w:tcW w:w="6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5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新品</w:t>
            </w:r>
          </w:p>
        </w:tc>
        <w:tc>
          <w:tcPr>
            <w:tcW w:w="23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真空泵油</w:t>
            </w:r>
          </w:p>
        </w:tc>
        <w:tc>
          <w:tcPr>
            <w:tcW w:w="2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100号 16L/桶</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长城</w:t>
            </w:r>
          </w:p>
        </w:tc>
        <w:tc>
          <w:tcPr>
            <w:tcW w:w="6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5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41</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新品</w:t>
            </w:r>
          </w:p>
        </w:tc>
        <w:tc>
          <w:tcPr>
            <w:tcW w:w="23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液压传动油</w:t>
            </w:r>
          </w:p>
        </w:tc>
        <w:tc>
          <w:tcPr>
            <w:tcW w:w="2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424 18L/桶</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美孚</w:t>
            </w:r>
          </w:p>
        </w:tc>
        <w:tc>
          <w:tcPr>
            <w:tcW w:w="6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2" w:hRule="atLeast"/>
        </w:trPr>
        <w:tc>
          <w:tcPr>
            <w:tcW w:w="57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15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新品</w:t>
            </w:r>
          </w:p>
        </w:tc>
        <w:tc>
          <w:tcPr>
            <w:tcW w:w="238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乳化液切削液</w:t>
            </w:r>
          </w:p>
        </w:tc>
        <w:tc>
          <w:tcPr>
            <w:tcW w:w="258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德润宝116-SW  208L /桶</w:t>
            </w:r>
          </w:p>
        </w:tc>
        <w:tc>
          <w:tcPr>
            <w:tcW w:w="119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德润宝</w:t>
            </w:r>
          </w:p>
        </w:tc>
        <w:tc>
          <w:tcPr>
            <w:tcW w:w="6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桶</w:t>
            </w:r>
          </w:p>
        </w:tc>
      </w:tr>
    </w:tbl>
    <w:p>
      <w:pPr>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2. </w:t>
      </w:r>
      <w:r>
        <w:rPr>
          <w:rFonts w:hint="eastAsia" w:ascii="宋体" w:hAnsi="宋体" w:eastAsia="宋体" w:cs="宋体"/>
          <w:b/>
          <w:bCs/>
          <w:color w:val="auto"/>
          <w:sz w:val="24"/>
          <w:szCs w:val="24"/>
          <w:highlight w:val="none"/>
        </w:rPr>
        <w:t>技术规格</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严格按上表内的品牌、规格型号或货号、包装大小要求报价，报价为含税单价。</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firstLine="480" w:firstLineChars="200"/>
        <w:jc w:val="both"/>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质量要求：</w:t>
      </w:r>
      <w:r>
        <w:rPr>
          <w:rFonts w:hint="eastAsia" w:ascii="宋体" w:hAnsi="宋体" w:eastAsia="宋体" w:cs="宋体"/>
          <w:color w:val="auto"/>
          <w:sz w:val="24"/>
          <w:szCs w:val="24"/>
          <w:highlight w:val="none"/>
          <w:lang w:val="en-US" w:eastAsia="zh-CN"/>
        </w:rPr>
        <w:t>备件必须为合格品，供货方应</w:t>
      </w:r>
      <w:r>
        <w:rPr>
          <w:rFonts w:hint="eastAsia" w:ascii="宋体" w:hAnsi="宋体" w:eastAsia="宋体" w:cs="宋体"/>
          <w:color w:val="auto"/>
          <w:sz w:val="24"/>
          <w:szCs w:val="24"/>
          <w:highlight w:val="none"/>
        </w:rPr>
        <w:t>提供所</w:t>
      </w:r>
      <w:r>
        <w:rPr>
          <w:rFonts w:hint="eastAsia" w:ascii="宋体" w:hAnsi="宋体" w:eastAsia="宋体" w:cs="宋体"/>
          <w:color w:val="auto"/>
          <w:sz w:val="24"/>
          <w:szCs w:val="24"/>
          <w:highlight w:val="none"/>
          <w:lang w:eastAsia="zh-CN"/>
        </w:rPr>
        <w:t>供</w:t>
      </w:r>
      <w:r>
        <w:rPr>
          <w:rFonts w:hint="eastAsia" w:ascii="宋体" w:hAnsi="宋体" w:eastAsia="宋体" w:cs="宋体"/>
          <w:color w:val="auto"/>
          <w:sz w:val="24"/>
          <w:szCs w:val="24"/>
          <w:highlight w:val="none"/>
        </w:rPr>
        <w:t>备件的出厂性能测验记录或报告</w:t>
      </w:r>
      <w:r>
        <w:rPr>
          <w:rFonts w:hint="eastAsia" w:ascii="宋体" w:hAnsi="宋体" w:eastAsia="宋体" w:cs="宋体"/>
          <w:color w:val="auto"/>
          <w:sz w:val="24"/>
          <w:szCs w:val="24"/>
          <w:highlight w:val="none"/>
          <w:lang w:eastAsia="zh-CN"/>
        </w:rPr>
        <w:t>，必须提供备件的</w:t>
      </w:r>
      <w:r>
        <w:rPr>
          <w:rFonts w:hint="eastAsia" w:ascii="宋体" w:hAnsi="宋体" w:eastAsia="宋体" w:cs="宋体"/>
          <w:color w:val="auto"/>
          <w:sz w:val="24"/>
          <w:szCs w:val="24"/>
          <w:highlight w:val="none"/>
        </w:rPr>
        <w:t>有效合格证书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若有不合格品，供应商免费调换或无条件退货</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 投标人投标标书应提供的内容</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3.1投标方提供交钥匙工程。</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3.2提供对设备备件的检验标准（检验方法及设备标准精度值）、检测手段、检验时所用工具等。</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3.3提供设备备件的产品样本。投标书应对所投设备备件的用途、功能、技术参数进行详细介绍，并出示必要的说明资料，应根据招标书提出的要求进行应答。</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3.5提供设备备件售后服务的说明。</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 投标人随设备需提供资料</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4.1卖方应提供所有设备备件的出厂性能测验记录或报告。</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4.2卖方应提供所有设备备件的有效合格证书</w:t>
      </w:r>
      <w:r>
        <w:rPr>
          <w:rFonts w:hint="eastAsia" w:ascii="宋体" w:hAnsi="宋体" w:eastAsia="宋体" w:cs="宋体"/>
          <w:color w:val="auto"/>
          <w:spacing w:val="-10"/>
          <w:sz w:val="24"/>
          <w:szCs w:val="24"/>
          <w:highlight w:val="none"/>
          <w:lang w:eastAsia="zh-CN"/>
        </w:rPr>
        <w:t>或出库单据</w:t>
      </w:r>
      <w:r>
        <w:rPr>
          <w:rFonts w:hint="eastAsia" w:ascii="宋体" w:hAnsi="宋体" w:eastAsia="宋体" w:cs="宋体"/>
          <w:color w:val="auto"/>
          <w:spacing w:val="-1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 货物验收</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5.1.设备备件的最终验收在买方公司进行。</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5.2.按设备备件验收标准及标书技术规格要求进行验收。</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 货物安装与调试</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本项目为交钥匙工程，卖方负责运送、安装、调试直至交付使用。</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7.培训</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卖方需要就设备备件的操作和维护对用户进行现场免费培训。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培训地点: 买方使用现场</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培训时间:  1天(8小时)</w:t>
      </w:r>
    </w:p>
    <w:p>
      <w:pPr>
        <w:keepNext w:val="0"/>
        <w:keepLines w:val="0"/>
        <w:pageBreakBefore w:val="0"/>
        <w:widowControl w:val="0"/>
        <w:numPr>
          <w:ilvl w:val="0"/>
          <w:numId w:val="1"/>
        </w:numPr>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rPr>
        <w:t>卖方应该提供用于培训的详细资料。</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质量保证期</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质量保证期：自检验合格之日起1年。</w:t>
      </w:r>
    </w:p>
    <w:p>
      <w:pPr>
        <w:keepNext w:val="0"/>
        <w:keepLines w:val="0"/>
        <w:pageBreakBefore w:val="0"/>
        <w:widowControl w:val="0"/>
        <w:kinsoku/>
        <w:wordWrap/>
        <w:overflowPunct/>
        <w:topLinePunct w:val="0"/>
        <w:autoSpaceDE/>
        <w:autoSpaceDN/>
        <w:bidi w:val="0"/>
        <w:adjustRightInd w:val="0"/>
        <w:snapToGrid w:val="0"/>
        <w:spacing w:line="480" w:lineRule="exact"/>
        <w:ind w:right="0" w:rightChars="0"/>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9 售后服务</w:t>
      </w:r>
    </w:p>
    <w:p>
      <w:pPr>
        <w:pStyle w:val="2"/>
        <w:keepNext w:val="0"/>
        <w:keepLines w:val="0"/>
        <w:pageBreakBefore w:val="0"/>
        <w:widowControl w:val="0"/>
        <w:kinsoku/>
        <w:wordWrap/>
        <w:overflowPunct/>
        <w:topLinePunct w:val="0"/>
        <w:autoSpaceDE/>
        <w:autoSpaceDN/>
        <w:bidi w:val="0"/>
        <w:spacing w:line="480" w:lineRule="exact"/>
        <w:ind w:right="0" w:rightChars="0"/>
        <w:jc w:val="both"/>
        <w:textAlignment w:val="auto"/>
        <w:outlineLvl w:val="9"/>
        <w:rPr>
          <w:color w:val="auto"/>
          <w:highlight w:val="none"/>
        </w:rPr>
      </w:pPr>
      <w:r>
        <w:rPr>
          <w:rFonts w:hint="eastAsia" w:ascii="宋体" w:hAnsi="宋体" w:eastAsia="宋体" w:cs="宋体"/>
          <w:color w:val="auto"/>
          <w:sz w:val="24"/>
          <w:szCs w:val="24"/>
          <w:highlight w:val="none"/>
        </w:rPr>
        <w:t>9.1</w:t>
      </w:r>
      <w:r>
        <w:rPr>
          <w:rFonts w:hint="eastAsia" w:ascii="宋体" w:hAnsi="宋体" w:eastAsia="宋体" w:cs="宋体"/>
          <w:bCs/>
          <w:color w:val="auto"/>
          <w:sz w:val="24"/>
          <w:szCs w:val="24"/>
          <w:highlight w:val="none"/>
        </w:rPr>
        <w:t>投标方在接到招标方故障信息通知后，应在4小时内作出响应，24小时内到达现场进行故障处理。</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2129"/>
    <w:multiLevelType w:val="multilevel"/>
    <w:tmpl w:val="6771212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ED5DF0"/>
    <w:rsid w:val="21683C58"/>
    <w:rsid w:val="2B8C7A34"/>
    <w:rsid w:val="4A734430"/>
    <w:rsid w:val="6D9E2941"/>
    <w:rsid w:val="71740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00" w:lineRule="auto"/>
      <w:jc w:val="center"/>
      <w:outlineLvl w:val="0"/>
    </w:pPr>
    <w:rPr>
      <w:b/>
      <w:bCs/>
      <w:kern w:val="44"/>
      <w:sz w:val="36"/>
      <w:szCs w:val="44"/>
    </w:rPr>
  </w:style>
  <w:style w:type="character" w:default="1" w:styleId="7">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Plain Text"/>
    <w:basedOn w:val="1"/>
    <w:uiPriority w:val="0"/>
    <w:rPr>
      <w:rFonts w:ascii="宋体" w:hAnsi="Courier New"/>
      <w:color w:val="000000"/>
      <w:kern w:val="0"/>
      <w:sz w:val="28"/>
      <w:szCs w:val="20"/>
    </w:rPr>
  </w:style>
  <w:style w:type="table" w:styleId="6">
    <w:name w:val="Table Grid"/>
    <w:basedOn w:val="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2021-07-13T09:31:00Z</dcterms:created>
  <dc:creator>014700991614</dc:creator>
  <cp:lastModifiedBy>014700991614</cp:lastModifiedBy>
  <dcterms:modified xsi:type="dcterms:W3CDTF">2021-12-01T10:32:44Z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