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803" w:firstLineChars="200"/>
        <w:jc w:val="center"/>
        <w:textAlignment w:val="auto"/>
        <w:outlineLvl w:val="9"/>
        <w:rPr>
          <w:rFonts w:hint="eastAsia" w:ascii="仿宋" w:hAnsi="仿宋" w:eastAsia="仿宋" w:cs="仿宋"/>
          <w:b/>
          <w:bCs/>
          <w:sz w:val="40"/>
          <w:szCs w:val="40"/>
        </w:rPr>
      </w:pPr>
      <w:bookmarkStart w:id="0" w:name="_Toc30451"/>
      <w:r>
        <w:rPr>
          <w:rFonts w:hint="eastAsia" w:ascii="仿宋" w:hAnsi="仿宋" w:eastAsia="仿宋" w:cs="仿宋"/>
          <w:b/>
          <w:bCs/>
          <w:sz w:val="40"/>
          <w:szCs w:val="40"/>
        </w:rPr>
        <w:t>中车戚墅堰机车有限公司</w:t>
      </w:r>
      <w:bookmarkEnd w:id="0"/>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803" w:firstLineChars="200"/>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温室气体排放报告书</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213" w:firstLineChars="1000"/>
        <w:jc w:val="left"/>
        <w:textAlignment w:val="auto"/>
        <w:rPr>
          <w:rFonts w:hint="default" w:ascii="仿宋" w:hAnsi="仿宋" w:eastAsia="仿宋" w:cs="仿宋"/>
          <w:b/>
          <w:bCs/>
          <w:strike w:val="0"/>
          <w:dstrike w:val="0"/>
          <w:sz w:val="32"/>
          <w:szCs w:val="32"/>
          <w:u w:val="single"/>
          <w:lang w:val="en-US" w:eastAsia="zh-CN"/>
        </w:rPr>
      </w:pPr>
      <w:r>
        <w:rPr>
          <w:rFonts w:hint="eastAsia" w:ascii="仿宋" w:hAnsi="仿宋" w:eastAsia="仿宋" w:cs="仿宋"/>
          <w:b/>
          <w:bCs/>
          <w:strike w:val="0"/>
          <w:dstrike w:val="0"/>
          <w:sz w:val="32"/>
          <w:szCs w:val="32"/>
          <w:u w:val="single"/>
        </w:rPr>
        <w:t>编制：    毕亚东</w:t>
      </w:r>
      <w:r>
        <w:rPr>
          <w:rFonts w:hint="eastAsia" w:ascii="仿宋" w:hAnsi="仿宋" w:eastAsia="仿宋" w:cs="仿宋"/>
          <w:b/>
          <w:bCs/>
          <w:strike w:val="0"/>
          <w:dstrike w:val="0"/>
          <w:sz w:val="32"/>
          <w:szCs w:val="32"/>
          <w:u w:val="single"/>
          <w:lang w:val="en-US" w:eastAsia="zh-CN"/>
        </w:rPr>
        <w:tab/>
        <w:t xml:space="preserve">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213" w:firstLineChars="1000"/>
        <w:jc w:val="left"/>
        <w:textAlignment w:val="auto"/>
        <w:rPr>
          <w:rFonts w:hint="default" w:ascii="仿宋" w:hAnsi="仿宋" w:eastAsia="仿宋" w:cs="仿宋"/>
          <w:b/>
          <w:bCs/>
          <w:strike w:val="0"/>
          <w:dstrike w:val="0"/>
          <w:sz w:val="32"/>
          <w:szCs w:val="32"/>
          <w:u w:val="single"/>
          <w:lang w:val="en-US" w:eastAsia="zh-CN"/>
        </w:rPr>
      </w:pPr>
      <w:r>
        <w:rPr>
          <w:rFonts w:hint="eastAsia" w:ascii="仿宋" w:hAnsi="仿宋" w:eastAsia="仿宋" w:cs="仿宋"/>
          <w:b/>
          <w:bCs/>
          <w:strike w:val="0"/>
          <w:dstrike w:val="0"/>
          <w:sz w:val="32"/>
          <w:szCs w:val="32"/>
          <w:u w:val="single"/>
        </w:rPr>
        <w:t>审核：    刘金平</w:t>
      </w:r>
      <w:r>
        <w:rPr>
          <w:rFonts w:hint="eastAsia" w:ascii="仿宋" w:hAnsi="仿宋" w:eastAsia="仿宋" w:cs="仿宋"/>
          <w:b/>
          <w:bCs/>
          <w:strike w:val="0"/>
          <w:dstrike w:val="0"/>
          <w:sz w:val="32"/>
          <w:szCs w:val="32"/>
          <w:u w:val="single"/>
          <w:lang w:val="en-US" w:eastAsia="zh-CN"/>
        </w:rPr>
        <w:tab/>
        <w:t xml:space="preserve">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213" w:firstLineChars="1000"/>
        <w:jc w:val="left"/>
        <w:textAlignment w:val="auto"/>
        <w:rPr>
          <w:rFonts w:hint="default" w:ascii="仿宋" w:hAnsi="仿宋" w:eastAsia="仿宋" w:cs="仿宋"/>
          <w:b/>
          <w:bCs/>
          <w:strike w:val="0"/>
          <w:dstrike w:val="0"/>
          <w:sz w:val="32"/>
          <w:szCs w:val="32"/>
          <w:u w:val="single"/>
          <w:lang w:val="en-US" w:eastAsia="zh-CN"/>
        </w:rPr>
      </w:pPr>
      <w:r>
        <w:rPr>
          <w:rFonts w:hint="eastAsia" w:ascii="仿宋" w:hAnsi="仿宋" w:eastAsia="仿宋" w:cs="仿宋"/>
          <w:b/>
          <w:bCs/>
          <w:strike w:val="0"/>
          <w:dstrike w:val="0"/>
          <w:sz w:val="32"/>
          <w:szCs w:val="32"/>
          <w:u w:val="single"/>
        </w:rPr>
        <w:t>批准：    杨淑娟</w:t>
      </w:r>
      <w:r>
        <w:rPr>
          <w:rFonts w:hint="eastAsia" w:ascii="仿宋" w:hAnsi="仿宋" w:eastAsia="仿宋" w:cs="仿宋"/>
          <w:b/>
          <w:bCs/>
          <w:strike w:val="0"/>
          <w:dstrike w:val="0"/>
          <w:sz w:val="32"/>
          <w:szCs w:val="32"/>
          <w:u w:val="single"/>
          <w:lang w:val="en-US" w:eastAsia="zh-CN"/>
        </w:rPr>
        <w:tab/>
        <w:t xml:space="preserve"> </w:t>
      </w:r>
      <w:bookmarkStart w:id="33" w:name="_GoBack"/>
      <w:bookmarkEnd w:id="33"/>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月</w:t>
      </w:r>
      <w:r>
        <w:rPr>
          <w:rFonts w:hint="eastAsia" w:ascii="宋体" w:hAnsi="宋体" w:eastAsia="宋体" w:cs="宋体"/>
          <w:b/>
          <w:bCs/>
          <w:sz w:val="32"/>
          <w:szCs w:val="32"/>
          <w:lang w:val="en-US" w:eastAsia="zh-CN"/>
        </w:rPr>
        <w:t>10</w:t>
      </w:r>
      <w:r>
        <w:rPr>
          <w:rFonts w:hint="eastAsia" w:ascii="宋体" w:hAnsi="宋体" w:eastAsia="宋体" w:cs="宋体"/>
          <w:b/>
          <w:bCs/>
          <w:sz w:val="32"/>
          <w:szCs w:val="32"/>
        </w:rPr>
        <w:t>日</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sdt>
      <w:sdtPr>
        <w:rPr>
          <w:rFonts w:ascii="宋体" w:hAnsi="宋体" w:eastAsia="宋体" w:cstheme="minorBidi"/>
          <w:kern w:val="2"/>
          <w:sz w:val="21"/>
          <w:szCs w:val="22"/>
          <w:lang w:val="en-US" w:eastAsia="zh-CN" w:bidi="ar-SA"/>
        </w:rPr>
        <w:id w:val="147451673"/>
        <w15:color w:val="DBDBDB"/>
        <w:docPartObj>
          <w:docPartGallery w:val="Table of Contents"/>
          <w:docPartUnique/>
        </w:docPartObj>
      </w:sdtPr>
      <w:sdtEndPr>
        <w:rPr>
          <w:rFonts w:hint="eastAsia" w:ascii="宋体" w:hAnsi="宋体" w:eastAsia="宋体" w:cs="宋体"/>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36"/>
              <w:szCs w:val="36"/>
            </w:rPr>
            <w:t>目录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_Toc21706 </w:instrText>
          </w:r>
          <w:r>
            <w:rPr>
              <w:rFonts w:hint="eastAsia" w:ascii="宋体" w:hAnsi="宋体" w:eastAsia="宋体" w:cs="宋体"/>
              <w:sz w:val="24"/>
              <w:szCs w:val="24"/>
            </w:rPr>
            <w:fldChar w:fldCharType="separate"/>
          </w:r>
          <w:r>
            <w:rPr>
              <w:rFonts w:hint="eastAsia" w:ascii="宋体" w:hAnsi="宋体" w:eastAsia="宋体" w:cs="宋体"/>
              <w:bCs/>
              <w:sz w:val="24"/>
              <w:szCs w:val="24"/>
            </w:rPr>
            <w:t>1 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_Toc21706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_Toc31826 </w:instrText>
          </w:r>
          <w:r>
            <w:rPr>
              <w:rFonts w:hint="eastAsia" w:ascii="宋体" w:hAnsi="宋体" w:eastAsia="宋体" w:cs="宋体"/>
              <w:sz w:val="24"/>
              <w:szCs w:val="24"/>
            </w:rPr>
            <w:fldChar w:fldCharType="separate"/>
          </w:r>
          <w:r>
            <w:rPr>
              <w:rFonts w:hint="eastAsia" w:ascii="宋体" w:hAnsi="宋体" w:eastAsia="宋体" w:cs="宋体"/>
              <w:bCs/>
              <w:sz w:val="24"/>
              <w:szCs w:val="24"/>
            </w:rPr>
            <w:t>1.1 核查目的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_Toc31826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_Toc15102 </w:instrText>
          </w:r>
          <w:r>
            <w:rPr>
              <w:rFonts w:hint="eastAsia" w:ascii="宋体" w:hAnsi="宋体" w:eastAsia="宋体" w:cs="宋体"/>
              <w:sz w:val="24"/>
              <w:szCs w:val="24"/>
            </w:rPr>
            <w:fldChar w:fldCharType="separate"/>
          </w:r>
          <w:r>
            <w:rPr>
              <w:rFonts w:hint="eastAsia" w:ascii="宋体" w:hAnsi="宋体" w:eastAsia="宋体" w:cs="宋体"/>
              <w:bCs/>
              <w:sz w:val="24"/>
              <w:szCs w:val="24"/>
            </w:rPr>
            <w:t>1.2 核查范围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_Toc15102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_Toc17759 </w:instrText>
          </w:r>
          <w:r>
            <w:rPr>
              <w:rFonts w:hint="eastAsia" w:ascii="宋体" w:hAnsi="宋体" w:eastAsia="宋体" w:cs="宋体"/>
              <w:sz w:val="24"/>
              <w:szCs w:val="24"/>
            </w:rPr>
            <w:fldChar w:fldCharType="separate"/>
          </w:r>
          <w:r>
            <w:rPr>
              <w:rFonts w:hint="eastAsia" w:ascii="宋体" w:hAnsi="宋体" w:eastAsia="宋体" w:cs="宋体"/>
              <w:bCs/>
              <w:sz w:val="24"/>
              <w:szCs w:val="24"/>
            </w:rPr>
            <w:t>1.3核查准则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_Toc24701 </w:instrText>
          </w:r>
          <w:r>
            <w:rPr>
              <w:rFonts w:hint="eastAsia" w:ascii="宋体" w:hAnsi="宋体" w:eastAsia="宋体" w:cs="宋体"/>
              <w:sz w:val="24"/>
              <w:szCs w:val="24"/>
            </w:rPr>
            <w:fldChar w:fldCharType="separate"/>
          </w:r>
          <w:r>
            <w:rPr>
              <w:rFonts w:hint="eastAsia" w:ascii="宋体" w:hAnsi="宋体" w:eastAsia="宋体" w:cs="宋体"/>
              <w:bCs/>
              <w:sz w:val="24"/>
              <w:szCs w:val="24"/>
            </w:rPr>
            <w:t>2 核查过程和方法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_Toc24701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_Toc30733 </w:instrText>
          </w:r>
          <w:r>
            <w:rPr>
              <w:rFonts w:hint="eastAsia" w:ascii="宋体" w:hAnsi="宋体" w:eastAsia="宋体" w:cs="宋体"/>
              <w:sz w:val="24"/>
              <w:szCs w:val="24"/>
            </w:rPr>
            <w:fldChar w:fldCharType="separate"/>
          </w:r>
          <w:r>
            <w:rPr>
              <w:rFonts w:hint="eastAsia" w:ascii="宋体" w:hAnsi="宋体" w:eastAsia="宋体" w:cs="宋体"/>
              <w:bCs/>
              <w:sz w:val="24"/>
              <w:szCs w:val="24"/>
            </w:rPr>
            <w:t>2.1 核查组安排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_Toc30733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_Toc28561 </w:instrText>
          </w:r>
          <w:r>
            <w:rPr>
              <w:rFonts w:hint="eastAsia" w:ascii="宋体" w:hAnsi="宋体" w:eastAsia="宋体" w:cs="宋体"/>
              <w:sz w:val="24"/>
              <w:szCs w:val="24"/>
            </w:rPr>
            <w:fldChar w:fldCharType="separate"/>
          </w:r>
          <w:r>
            <w:rPr>
              <w:rFonts w:hint="eastAsia" w:ascii="宋体" w:hAnsi="宋体" w:eastAsia="宋体" w:cs="宋体"/>
              <w:bCs/>
              <w:sz w:val="24"/>
              <w:szCs w:val="24"/>
            </w:rPr>
            <w:t>2.2 文件评审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_Toc28561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_Toc9115 </w:instrText>
          </w:r>
          <w:r>
            <w:rPr>
              <w:rFonts w:hint="eastAsia" w:ascii="宋体" w:hAnsi="宋体" w:eastAsia="宋体" w:cs="宋体"/>
              <w:sz w:val="24"/>
              <w:szCs w:val="24"/>
            </w:rPr>
            <w:fldChar w:fldCharType="separate"/>
          </w:r>
          <w:r>
            <w:rPr>
              <w:rFonts w:hint="eastAsia" w:ascii="宋体" w:hAnsi="宋体" w:eastAsia="宋体" w:cs="宋体"/>
              <w:bCs/>
              <w:sz w:val="24"/>
              <w:szCs w:val="24"/>
            </w:rPr>
            <w:t>2.3 现场核查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_Toc9115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_Toc30763 </w:instrText>
          </w:r>
          <w:r>
            <w:rPr>
              <w:rFonts w:hint="eastAsia" w:ascii="宋体" w:hAnsi="宋体" w:eastAsia="宋体" w:cs="宋体"/>
              <w:sz w:val="24"/>
              <w:szCs w:val="24"/>
            </w:rPr>
            <w:fldChar w:fldCharType="separate"/>
          </w:r>
          <w:r>
            <w:rPr>
              <w:rFonts w:hint="eastAsia" w:ascii="宋体" w:hAnsi="宋体" w:eastAsia="宋体" w:cs="宋体"/>
              <w:bCs/>
              <w:sz w:val="24"/>
              <w:szCs w:val="24"/>
            </w:rPr>
            <w:t>2.4 核查报告编写及内部技术复核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_Toc30763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_Toc10012 </w:instrText>
          </w:r>
          <w:r>
            <w:rPr>
              <w:rFonts w:hint="eastAsia" w:ascii="宋体" w:hAnsi="宋体" w:eastAsia="宋体" w:cs="宋体"/>
              <w:sz w:val="24"/>
              <w:szCs w:val="24"/>
            </w:rPr>
            <w:fldChar w:fldCharType="separate"/>
          </w:r>
          <w:r>
            <w:rPr>
              <w:rFonts w:hint="eastAsia" w:ascii="宋体" w:hAnsi="宋体" w:eastAsia="宋体" w:cs="宋体"/>
              <w:bCs/>
              <w:sz w:val="24"/>
              <w:szCs w:val="24"/>
            </w:rPr>
            <w:t>3 核查发现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_Toc10012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_Toc22617 </w:instrText>
          </w:r>
          <w:r>
            <w:rPr>
              <w:rFonts w:hint="eastAsia" w:ascii="宋体" w:hAnsi="宋体" w:eastAsia="宋体" w:cs="宋体"/>
              <w:sz w:val="24"/>
              <w:szCs w:val="24"/>
            </w:rPr>
            <w:fldChar w:fldCharType="separate"/>
          </w:r>
          <w:r>
            <w:rPr>
              <w:rFonts w:hint="eastAsia" w:ascii="宋体" w:hAnsi="宋体" w:eastAsia="宋体" w:cs="宋体"/>
              <w:bCs/>
              <w:sz w:val="24"/>
              <w:szCs w:val="24"/>
            </w:rPr>
            <w:t>3.1 基本情况的核查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_Toc22617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_Toc32420 </w:instrText>
          </w:r>
          <w:r>
            <w:rPr>
              <w:rFonts w:hint="eastAsia" w:ascii="宋体" w:hAnsi="宋体" w:eastAsia="宋体" w:cs="宋体"/>
              <w:sz w:val="24"/>
              <w:szCs w:val="24"/>
            </w:rPr>
            <w:fldChar w:fldCharType="separate"/>
          </w:r>
          <w:r>
            <w:rPr>
              <w:rFonts w:hint="eastAsia" w:ascii="宋体" w:hAnsi="宋体" w:eastAsia="宋体" w:cs="宋体"/>
              <w:bCs/>
              <w:sz w:val="24"/>
              <w:szCs w:val="24"/>
            </w:rPr>
            <w:t>3.2 核算边界的核查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_Toc32420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_Toc16685 </w:instrText>
          </w:r>
          <w:r>
            <w:rPr>
              <w:rFonts w:hint="eastAsia" w:ascii="宋体" w:hAnsi="宋体" w:eastAsia="宋体" w:cs="宋体"/>
              <w:sz w:val="24"/>
              <w:szCs w:val="24"/>
            </w:rPr>
            <w:fldChar w:fldCharType="separate"/>
          </w:r>
          <w:r>
            <w:rPr>
              <w:rFonts w:hint="eastAsia" w:ascii="宋体" w:hAnsi="宋体" w:eastAsia="宋体" w:cs="宋体"/>
              <w:bCs/>
              <w:sz w:val="24"/>
              <w:szCs w:val="24"/>
            </w:rPr>
            <w:t>3.3 核算方法的核查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_Toc16685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_Toc28422 </w:instrText>
          </w:r>
          <w:r>
            <w:rPr>
              <w:rFonts w:hint="eastAsia" w:ascii="宋体" w:hAnsi="宋体" w:eastAsia="宋体" w:cs="宋体"/>
              <w:sz w:val="24"/>
              <w:szCs w:val="24"/>
            </w:rPr>
            <w:fldChar w:fldCharType="separate"/>
          </w: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 xml:space="preserve"> 核算方法的</w:t>
          </w:r>
          <w:r>
            <w:rPr>
              <w:rFonts w:hint="eastAsia" w:ascii="宋体" w:hAnsi="宋体" w:eastAsia="宋体" w:cs="宋体"/>
              <w:bCs/>
              <w:sz w:val="24"/>
              <w:szCs w:val="24"/>
              <w:lang w:val="en-US" w:eastAsia="zh-CN"/>
            </w:rPr>
            <w:t>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_Toc28422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_Toc1040 </w:instrText>
          </w:r>
          <w:r>
            <w:rPr>
              <w:rFonts w:hint="eastAsia" w:ascii="宋体" w:hAnsi="宋体" w:eastAsia="宋体" w:cs="宋体"/>
              <w:sz w:val="24"/>
              <w:szCs w:val="24"/>
            </w:rPr>
            <w:fldChar w:fldCharType="separate"/>
          </w:r>
          <w:r>
            <w:rPr>
              <w:rFonts w:hint="eastAsia" w:ascii="宋体" w:hAnsi="宋体" w:eastAsia="宋体" w:cs="宋体"/>
              <w:bCs/>
              <w:sz w:val="24"/>
              <w:szCs w:val="24"/>
            </w:rPr>
            <w:t>3.</w:t>
          </w: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 核算数据的核查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_Toc11358 </w:instrText>
          </w:r>
          <w:r>
            <w:rPr>
              <w:rFonts w:hint="eastAsia" w:ascii="宋体" w:hAnsi="宋体" w:eastAsia="宋体" w:cs="宋体"/>
              <w:sz w:val="24"/>
              <w:szCs w:val="24"/>
            </w:rPr>
            <w:fldChar w:fldCharType="separate"/>
          </w:r>
          <w:r>
            <w:rPr>
              <w:rFonts w:hint="eastAsia" w:ascii="宋体" w:hAnsi="宋体" w:eastAsia="宋体" w:cs="宋体"/>
              <w:bCs/>
              <w:sz w:val="24"/>
              <w:szCs w:val="24"/>
            </w:rPr>
            <w:t>4 温室气体计算说明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_Toc29604 </w:instrText>
          </w:r>
          <w:r>
            <w:rPr>
              <w:rFonts w:hint="eastAsia" w:ascii="宋体" w:hAnsi="宋体" w:eastAsia="宋体" w:cs="宋体"/>
              <w:sz w:val="24"/>
              <w:szCs w:val="24"/>
            </w:rPr>
            <w:fldChar w:fldCharType="separate"/>
          </w:r>
          <w:r>
            <w:rPr>
              <w:rFonts w:hint="eastAsia" w:ascii="宋体" w:hAnsi="宋体" w:eastAsia="宋体" w:cs="宋体"/>
              <w:bCs/>
              <w:sz w:val="24"/>
              <w:szCs w:val="24"/>
            </w:rPr>
            <w:t>4.1 清单中就某些温室气体排放源排除的说明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_Toc29604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_Toc14834 </w:instrText>
          </w:r>
          <w:r>
            <w:rPr>
              <w:rFonts w:hint="eastAsia" w:ascii="宋体" w:hAnsi="宋体" w:eastAsia="宋体" w:cs="宋体"/>
              <w:sz w:val="24"/>
              <w:szCs w:val="24"/>
            </w:rPr>
            <w:fldChar w:fldCharType="separate"/>
          </w:r>
          <w:r>
            <w:rPr>
              <w:rFonts w:hint="eastAsia" w:ascii="宋体" w:hAnsi="宋体" w:eastAsia="宋体" w:cs="宋体"/>
              <w:bCs/>
              <w:sz w:val="24"/>
              <w:szCs w:val="24"/>
            </w:rPr>
            <w:t>4.2 质量保证和文件存档的核查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_Toc14834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_Toc15508 </w:instrText>
          </w:r>
          <w:r>
            <w:rPr>
              <w:rFonts w:hint="eastAsia" w:ascii="宋体" w:hAnsi="宋体" w:eastAsia="宋体" w:cs="宋体"/>
              <w:sz w:val="24"/>
              <w:szCs w:val="24"/>
            </w:rPr>
            <w:fldChar w:fldCharType="separate"/>
          </w:r>
          <w:r>
            <w:rPr>
              <w:rFonts w:hint="eastAsia" w:ascii="宋体" w:hAnsi="宋体" w:eastAsia="宋体" w:cs="宋体"/>
              <w:bCs/>
              <w:sz w:val="24"/>
              <w:szCs w:val="24"/>
            </w:rPr>
            <w:t>4.3 数据不确定性分析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_Toc15508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_Toc30268 </w:instrText>
          </w:r>
          <w:r>
            <w:rPr>
              <w:rFonts w:hint="eastAsia" w:ascii="宋体" w:hAnsi="宋体" w:eastAsia="宋体" w:cs="宋体"/>
              <w:sz w:val="24"/>
              <w:szCs w:val="24"/>
            </w:rPr>
            <w:fldChar w:fldCharType="separate"/>
          </w:r>
          <w:r>
            <w:rPr>
              <w:rFonts w:hint="eastAsia" w:ascii="宋体" w:hAnsi="宋体" w:eastAsia="宋体" w:cs="宋体"/>
              <w:bCs/>
              <w:sz w:val="24"/>
              <w:szCs w:val="24"/>
            </w:rPr>
            <w:t>5 基准年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_Toc30268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_Toc32261 </w:instrText>
          </w:r>
          <w:r>
            <w:rPr>
              <w:rFonts w:hint="eastAsia" w:ascii="宋体" w:hAnsi="宋体" w:eastAsia="宋体" w:cs="宋体"/>
              <w:sz w:val="24"/>
              <w:szCs w:val="24"/>
            </w:rPr>
            <w:fldChar w:fldCharType="separate"/>
          </w:r>
          <w:r>
            <w:rPr>
              <w:rFonts w:hint="eastAsia" w:ascii="宋体" w:hAnsi="宋体" w:eastAsia="宋体" w:cs="宋体"/>
              <w:bCs/>
              <w:sz w:val="24"/>
              <w:szCs w:val="24"/>
            </w:rPr>
            <w:t>5.1 基准年的设定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_Toc32261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_Toc7191 </w:instrText>
          </w:r>
          <w:r>
            <w:rPr>
              <w:rFonts w:hint="eastAsia" w:ascii="宋体" w:hAnsi="宋体" w:eastAsia="宋体" w:cs="宋体"/>
              <w:sz w:val="24"/>
              <w:szCs w:val="24"/>
            </w:rPr>
            <w:fldChar w:fldCharType="separate"/>
          </w:r>
          <w:r>
            <w:rPr>
              <w:rFonts w:hint="eastAsia" w:ascii="宋体" w:hAnsi="宋体" w:eastAsia="宋体" w:cs="宋体"/>
              <w:bCs/>
              <w:sz w:val="24"/>
              <w:szCs w:val="24"/>
            </w:rPr>
            <w:t>5.2 基准年调整条件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_Toc7191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_Toc26254 </w:instrText>
          </w:r>
          <w:r>
            <w:rPr>
              <w:rFonts w:hint="eastAsia" w:ascii="宋体" w:hAnsi="宋体" w:eastAsia="宋体" w:cs="宋体"/>
              <w:sz w:val="24"/>
              <w:szCs w:val="24"/>
            </w:rPr>
            <w:fldChar w:fldCharType="separate"/>
          </w:r>
          <w:r>
            <w:rPr>
              <w:rFonts w:hint="eastAsia" w:ascii="宋体" w:hAnsi="宋体" w:eastAsia="宋体" w:cs="宋体"/>
              <w:bCs/>
              <w:sz w:val="24"/>
              <w:szCs w:val="24"/>
            </w:rPr>
            <w:t>5.3 与基准年的比较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_Toc26254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 </w:instrText>
          </w:r>
          <w:r>
            <w:rPr>
              <w:rFonts w:hint="eastAsia" w:ascii="宋体" w:hAnsi="宋体" w:eastAsia="宋体" w:cs="宋体"/>
              <w:sz w:val="24"/>
              <w:szCs w:val="24"/>
            </w:rPr>
            <w:fldChar w:fldCharType="separate"/>
          </w:r>
          <w:r>
            <w:rPr>
              <w:rFonts w:hint="eastAsia" w:ascii="宋体" w:hAnsi="宋体" w:eastAsia="宋体" w:cs="宋体"/>
              <w:bCs/>
              <w:sz w:val="24"/>
              <w:szCs w:val="24"/>
            </w:rPr>
            <w:t>5.4 相对于基准年设施层面的变化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_Toc470 </w:instrText>
          </w:r>
          <w:r>
            <w:rPr>
              <w:rFonts w:hint="eastAsia" w:ascii="宋体" w:hAnsi="宋体" w:eastAsia="宋体" w:cs="宋体"/>
              <w:sz w:val="24"/>
              <w:szCs w:val="24"/>
            </w:rPr>
            <w:fldChar w:fldCharType="separate"/>
          </w:r>
          <w:r>
            <w:rPr>
              <w:rFonts w:hint="eastAsia" w:ascii="宋体" w:hAnsi="宋体" w:eastAsia="宋体" w:cs="宋体"/>
              <w:bCs/>
              <w:sz w:val="24"/>
              <w:szCs w:val="24"/>
            </w:rPr>
            <w:t>6 温室气体排放控制措施及绩效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_Toc470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_Toc28019 </w:instrText>
          </w:r>
          <w:r>
            <w:rPr>
              <w:rFonts w:hint="eastAsia" w:ascii="宋体" w:hAnsi="宋体" w:eastAsia="宋体" w:cs="宋体"/>
              <w:sz w:val="24"/>
              <w:szCs w:val="24"/>
            </w:rPr>
            <w:fldChar w:fldCharType="separate"/>
          </w:r>
          <w:r>
            <w:rPr>
              <w:rFonts w:hint="eastAsia" w:ascii="宋体" w:hAnsi="宋体" w:eastAsia="宋体" w:cs="宋体"/>
              <w:bCs/>
              <w:sz w:val="24"/>
              <w:szCs w:val="24"/>
            </w:rPr>
            <w:t>6.1 直接行动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_Toc28019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_Toc1105 </w:instrText>
          </w:r>
          <w:r>
            <w:rPr>
              <w:rFonts w:hint="eastAsia" w:ascii="宋体" w:hAnsi="宋体" w:eastAsia="宋体" w:cs="宋体"/>
              <w:sz w:val="24"/>
              <w:szCs w:val="24"/>
            </w:rPr>
            <w:fldChar w:fldCharType="separate"/>
          </w:r>
          <w:r>
            <w:rPr>
              <w:rFonts w:hint="eastAsia" w:ascii="宋体" w:hAnsi="宋体" w:eastAsia="宋体" w:cs="宋体"/>
              <w:bCs/>
              <w:sz w:val="24"/>
              <w:szCs w:val="24"/>
            </w:rPr>
            <w:t>6.2 GHG 减排项目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_Toc1105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_Toc709 </w:instrText>
          </w:r>
          <w:r>
            <w:rPr>
              <w:rFonts w:hint="eastAsia" w:ascii="宋体" w:hAnsi="宋体" w:eastAsia="宋体" w:cs="宋体"/>
              <w:sz w:val="24"/>
              <w:szCs w:val="24"/>
            </w:rPr>
            <w:fldChar w:fldCharType="separate"/>
          </w:r>
          <w:r>
            <w:rPr>
              <w:rFonts w:hint="eastAsia" w:ascii="宋体" w:hAnsi="宋体" w:eastAsia="宋体" w:cs="宋体"/>
              <w:bCs/>
              <w:sz w:val="24"/>
              <w:szCs w:val="24"/>
            </w:rPr>
            <w:t>7 报告发布信息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eastAsia="宋体" w:cs="宋体"/>
              <w:szCs w:val="24"/>
            </w:rPr>
            <w:fldChar w:fldCharType="end"/>
          </w:r>
        </w:p>
      </w:sdtContent>
    </w:sdt>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eastAsia" w:ascii="宋体" w:hAnsi="宋体" w:eastAsia="宋体" w:cs="宋体"/>
          <w:b/>
          <w:bCs/>
          <w:sz w:val="24"/>
          <w:szCs w:val="24"/>
        </w:rPr>
      </w:pPr>
      <w:bookmarkStart w:id="1" w:name="_Toc21706"/>
      <w:r>
        <w:rPr>
          <w:rFonts w:hint="eastAsia" w:ascii="宋体" w:hAnsi="宋体" w:eastAsia="宋体" w:cs="宋体"/>
          <w:b/>
          <w:bCs/>
          <w:sz w:val="24"/>
          <w:szCs w:val="24"/>
        </w:rPr>
        <w:t>1 概述</w:t>
      </w:r>
      <w:bookmarkEnd w:id="1"/>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szCs w:val="24"/>
        </w:rPr>
      </w:pPr>
      <w:bookmarkStart w:id="2" w:name="_Toc31826"/>
      <w:r>
        <w:rPr>
          <w:rFonts w:hint="eastAsia" w:ascii="宋体" w:hAnsi="宋体" w:eastAsia="宋体" w:cs="宋体"/>
          <w:b/>
          <w:bCs/>
          <w:sz w:val="24"/>
          <w:szCs w:val="24"/>
        </w:rPr>
        <w:t>1.1 核查目的</w:t>
      </w:r>
      <w:bookmarkEnd w:id="2"/>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方圆标志认证集团江苏有限公司受中车戚墅堰机车有限公司的委托，对中车戚墅堰机车有限公司（以下简称“受核查方”）的 202</w:t>
      </w:r>
      <w:r>
        <w:rPr>
          <w:rFonts w:hint="eastAsia" w:ascii="宋体" w:hAnsi="宋体" w:eastAsia="宋体" w:cs="宋体"/>
          <w:sz w:val="24"/>
          <w:szCs w:val="24"/>
          <w:lang w:val="en-US" w:eastAsia="zh-CN"/>
        </w:rPr>
        <w:t>2</w:t>
      </w:r>
      <w:r>
        <w:rPr>
          <w:rFonts w:hint="eastAsia" w:ascii="宋体" w:hAnsi="宋体" w:eastAsia="宋体" w:cs="宋体"/>
          <w:sz w:val="24"/>
          <w:szCs w:val="24"/>
        </w:rPr>
        <w:t>年度温室气体排放数据进行核查。此次核查目的包括：</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1）确认受核查方提供的《202</w:t>
      </w:r>
      <w:r>
        <w:rPr>
          <w:rFonts w:hint="eastAsia" w:ascii="宋体" w:hAnsi="宋体" w:eastAsia="宋体" w:cs="宋体"/>
          <w:sz w:val="24"/>
          <w:szCs w:val="24"/>
          <w:lang w:val="en-US" w:eastAsia="zh-CN"/>
        </w:rPr>
        <w:t>2</w:t>
      </w:r>
      <w:r>
        <w:rPr>
          <w:rFonts w:hint="eastAsia" w:ascii="宋体" w:hAnsi="宋体" w:eastAsia="宋体" w:cs="宋体"/>
          <w:sz w:val="24"/>
          <w:szCs w:val="24"/>
        </w:rPr>
        <w:t>年度温室气体排放报告》及其支持文件是否完整可信，是否符合《ISO14064-1：2018 温室气体 第一部分 组织层上对温室气体排放和清除的量化和报告的规范及指南》（以下简称“ISO14064-1：2018”）的要求；</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2）根据《ISO14064-1：2018》的要求，对记录和存储的数据进行评审，确认数据及计算结果是否真实、可靠、正确。</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szCs w:val="24"/>
        </w:rPr>
      </w:pPr>
      <w:bookmarkStart w:id="3" w:name="_Toc15102"/>
      <w:r>
        <w:rPr>
          <w:rFonts w:hint="eastAsia" w:ascii="宋体" w:hAnsi="宋体" w:eastAsia="宋体" w:cs="宋体"/>
          <w:b/>
          <w:bCs/>
          <w:sz w:val="24"/>
          <w:szCs w:val="24"/>
        </w:rPr>
        <w:t>1.2 核查范围</w:t>
      </w:r>
      <w:bookmarkEnd w:id="3"/>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本次核查范围包括：中车戚墅堰机车有限公司 202</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年度在江苏省常州市延陵东路 358号的生产经营场所内的生产设施、辅助生产设施及附属生活设施等产生的直接排放量以及间接排放量。</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szCs w:val="24"/>
        </w:rPr>
      </w:pPr>
      <w:bookmarkStart w:id="4" w:name="_Toc17759"/>
      <w:r>
        <w:rPr>
          <w:rFonts w:hint="eastAsia" w:ascii="宋体" w:hAnsi="宋体" w:eastAsia="宋体" w:cs="宋体"/>
          <w:b/>
          <w:bCs/>
          <w:sz w:val="24"/>
          <w:szCs w:val="24"/>
        </w:rPr>
        <w:t>1.3核查准则</w:t>
      </w:r>
      <w:bookmarkEnd w:id="4"/>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-《ISO14064-1-2018温室气体第一部分组织层上对温室气体排放和清除的量化和报告的规范及指南》</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-《机械设备制造企业温室气体排放核算方法与报告指南（试行〉》(以下简称“核算指南”)</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-《企业温室气体排放报告核查指南（试行）》(环办气候函〔2021) 130号)- GB/T 6422-2009用能设备能量测试导则</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IPCC: 2006国家温室气体清单指南-GB/T4754-2017《国民经济行业分类》</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 17167-2006《用能单位能源计量器具配备和管理通则》-JJG 596-2012电子式交流电能表检定规程</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-GB/T15316-2009节能监测技术通则-其他相关标准及要求</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5" w:name="_Toc24701"/>
      <w:r>
        <w:rPr>
          <w:rFonts w:hint="eastAsia" w:ascii="宋体" w:hAnsi="宋体" w:eastAsia="宋体" w:cs="宋体"/>
          <w:b/>
          <w:bCs/>
          <w:sz w:val="24"/>
          <w:szCs w:val="24"/>
        </w:rPr>
        <w:t>2 核查过程和方法</w:t>
      </w:r>
      <w:bookmarkEnd w:id="5"/>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szCs w:val="24"/>
        </w:rPr>
      </w:pPr>
      <w:bookmarkStart w:id="6" w:name="_Toc30733"/>
      <w:r>
        <w:rPr>
          <w:rFonts w:hint="eastAsia" w:ascii="宋体" w:hAnsi="宋体" w:eastAsia="宋体" w:cs="宋体"/>
          <w:b/>
          <w:bCs/>
          <w:sz w:val="24"/>
          <w:szCs w:val="24"/>
        </w:rPr>
        <w:t>2.1 核查组安排</w:t>
      </w:r>
      <w:bookmarkEnd w:id="6"/>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根据方圆标志认证集团江苏有限公司内部核查组人员能力及程序文件的要求，此次核查组组由下表所示人员组成：</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132" w:firstLineChars="1300"/>
        <w:textAlignment w:val="auto"/>
        <w:rPr>
          <w:rFonts w:hint="eastAsia" w:ascii="宋体" w:hAnsi="宋体" w:eastAsia="宋体" w:cs="宋体"/>
          <w:b/>
          <w:bCs/>
          <w:sz w:val="24"/>
          <w:szCs w:val="24"/>
        </w:rPr>
      </w:pPr>
      <w:r>
        <w:rPr>
          <w:rFonts w:hint="eastAsia" w:ascii="宋体" w:hAnsi="宋体" w:eastAsia="宋体" w:cs="宋体"/>
          <w:b/>
          <w:bCs/>
          <w:sz w:val="24"/>
          <w:szCs w:val="24"/>
        </w:rPr>
        <w:t>表2-1核查组人员</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40"/>
        <w:gridCol w:w="2360"/>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3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职务</w:t>
            </w:r>
          </w:p>
        </w:tc>
        <w:tc>
          <w:tcPr>
            <w:tcW w:w="40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杨淑娟</w:t>
            </w:r>
          </w:p>
        </w:tc>
        <w:tc>
          <w:tcPr>
            <w:tcW w:w="23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核查组组长</w:t>
            </w:r>
          </w:p>
        </w:tc>
        <w:tc>
          <w:tcPr>
            <w:tcW w:w="40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项目风、文件评审、现场访问、报告编写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刘金平</w:t>
            </w:r>
          </w:p>
        </w:tc>
        <w:tc>
          <w:tcPr>
            <w:tcW w:w="23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核查组组长</w:t>
            </w:r>
          </w:p>
        </w:tc>
        <w:tc>
          <w:tcPr>
            <w:tcW w:w="40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文件评审、现场访问、报告编写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毕亚东</w:t>
            </w:r>
          </w:p>
        </w:tc>
        <w:tc>
          <w:tcPr>
            <w:tcW w:w="23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技术复核人</w:t>
            </w:r>
          </w:p>
        </w:tc>
        <w:tc>
          <w:tcPr>
            <w:tcW w:w="40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技术评审</w:t>
            </w:r>
          </w:p>
        </w:tc>
      </w:tr>
    </w:tbl>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szCs w:val="24"/>
        </w:rPr>
      </w:pPr>
      <w:bookmarkStart w:id="7" w:name="_Toc28561"/>
      <w:r>
        <w:rPr>
          <w:rFonts w:hint="eastAsia" w:ascii="宋体" w:hAnsi="宋体" w:eastAsia="宋体" w:cs="宋体"/>
          <w:b/>
          <w:bCs/>
          <w:sz w:val="24"/>
          <w:szCs w:val="24"/>
        </w:rPr>
        <w:t>2.2 文件评审</w:t>
      </w:r>
      <w:bookmarkEnd w:id="7"/>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根据《企业温室气体排放报告核查指南（试行）》（环办气候函〔2021〕130 号），</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核查小组查阅了受核查方相关的资料，从国家信用信息公示系统、受核查方网站的相关信息，初步对受核查方的行业领域及主要产品分类代码进行了识别。</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核查组通过文件评审识别出以下要点需特别关注如：企业边界，排放设施的数量与位置的准确性、完整性，排放源和气体种类，进出企业边界的碳源流种类、数量及有关数据的收集、处理、计算等。</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szCs w:val="24"/>
        </w:rPr>
      </w:pPr>
      <w:bookmarkStart w:id="8" w:name="_Toc9115"/>
      <w:r>
        <w:rPr>
          <w:rFonts w:hint="eastAsia" w:ascii="宋体" w:hAnsi="宋体" w:eastAsia="宋体" w:cs="宋体"/>
          <w:b/>
          <w:bCs/>
          <w:sz w:val="24"/>
          <w:szCs w:val="24"/>
        </w:rPr>
        <w:t>2.3 现场核查</w:t>
      </w:r>
      <w:bookmarkEnd w:id="8"/>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因疫情原因，核查组于 202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月 29 日对受核查方进行了远程核查。远程核查的流程主要包括收集和查看支持性材料、远程查看相关排放设施及测量设备、与排放单位进行访谈等。</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远程核查访谈的时间、对象及主要内容如表 2-2 所示：</w:t>
      </w:r>
      <w:r>
        <w:rPr>
          <w:rFonts w:hint="eastAsia" w:ascii="宋体" w:hAnsi="宋体" w:eastAsia="宋体" w:cs="宋体"/>
          <w:sz w:val="24"/>
          <w:szCs w:val="24"/>
        </w:rPr>
        <w:fldChar w:fldCharType="begin"/>
      </w:r>
      <w:r>
        <w:rPr>
          <w:sz w:val="24"/>
          <w:szCs w:val="24"/>
        </w:rPr>
        <w:instrText xml:space="preserve"> LINK Excel.Sheet.12 "工作簿1" "Sheet1!R1C1:R9C4" \a \f 4 \h  \* MERGEFORMAT</w:instrText>
      </w:r>
      <w:r>
        <w:rPr>
          <w:rFonts w:hint="eastAsia" w:ascii="宋体" w:hAnsi="宋体" w:eastAsia="宋体" w:cs="宋体"/>
          <w:sz w:val="24"/>
          <w:szCs w:val="24"/>
        </w:rPr>
        <w:fldChar w:fldCharType="separate"/>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LINK Excel.Sheet.12 "工作簿1" "Sheet1!R9C1:R18C4" \a \f 4 \h  \* MERGEFORMAT </w:instrText>
      </w:r>
      <w:r>
        <w:rPr>
          <w:rFonts w:hint="eastAsia" w:ascii="宋体" w:hAnsi="宋体" w:eastAsia="宋体" w:cs="宋体"/>
          <w:sz w:val="24"/>
          <w:szCs w:val="24"/>
        </w:rPr>
        <w:fldChar w:fldCharType="separate"/>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end"/>
      </w:r>
    </w:p>
    <w:tbl>
      <w:tblPr>
        <w:tblStyle w:val="8"/>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80"/>
        <w:gridCol w:w="1657"/>
        <w:gridCol w:w="5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1"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表2-2远程核查访谈对象及内容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时间</w:t>
            </w:r>
          </w:p>
        </w:tc>
        <w:tc>
          <w:tcPr>
            <w:tcW w:w="17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对象/职务</w:t>
            </w:r>
          </w:p>
        </w:tc>
        <w:tc>
          <w:tcPr>
            <w:tcW w:w="16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部门</w:t>
            </w:r>
          </w:p>
        </w:tc>
        <w:tc>
          <w:tcPr>
            <w:tcW w:w="502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访谈内容及目的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月29</w:t>
            </w:r>
          </w:p>
        </w:tc>
        <w:tc>
          <w:tcPr>
            <w:tcW w:w="17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叶坤孝/部长</w:t>
            </w:r>
          </w:p>
        </w:tc>
        <w:tc>
          <w:tcPr>
            <w:tcW w:w="16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环保部门</w:t>
            </w:r>
          </w:p>
        </w:tc>
        <w:tc>
          <w:tcPr>
            <w:tcW w:w="502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受核查方的地理范围及核算边界；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企业生产情况产生计划；</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温室气体排放数据和文档管理；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核算方法、排放因子及碳排放计算的核查；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活动水平数据；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现场观察排放设备；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检测设备安装、效验情况；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计算凭证及票据的管理；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c>
          <w:tcPr>
            <w:tcW w:w="17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刑新田/部长</w:t>
            </w:r>
          </w:p>
        </w:tc>
        <w:tc>
          <w:tcPr>
            <w:tcW w:w="16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运营管理部</w:t>
            </w:r>
          </w:p>
        </w:tc>
        <w:tc>
          <w:tcPr>
            <w:tcW w:w="502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c>
          <w:tcPr>
            <w:tcW w:w="17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张俊/部长</w:t>
            </w:r>
          </w:p>
        </w:tc>
        <w:tc>
          <w:tcPr>
            <w:tcW w:w="16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财务部</w:t>
            </w:r>
          </w:p>
        </w:tc>
        <w:tc>
          <w:tcPr>
            <w:tcW w:w="502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c>
          <w:tcPr>
            <w:tcW w:w="17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kern w:val="0"/>
                <w:sz w:val="24"/>
                <w:szCs w:val="24"/>
              </w:rPr>
            </w:pPr>
          </w:p>
        </w:tc>
        <w:tc>
          <w:tcPr>
            <w:tcW w:w="16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kern w:val="0"/>
                <w:sz w:val="24"/>
                <w:szCs w:val="24"/>
              </w:rPr>
            </w:pPr>
          </w:p>
        </w:tc>
        <w:tc>
          <w:tcPr>
            <w:tcW w:w="502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c>
          <w:tcPr>
            <w:tcW w:w="17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kern w:val="0"/>
                <w:sz w:val="24"/>
                <w:szCs w:val="24"/>
              </w:rPr>
            </w:pPr>
          </w:p>
        </w:tc>
        <w:tc>
          <w:tcPr>
            <w:tcW w:w="16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kern w:val="0"/>
                <w:sz w:val="24"/>
                <w:szCs w:val="24"/>
              </w:rPr>
            </w:pPr>
          </w:p>
        </w:tc>
        <w:tc>
          <w:tcPr>
            <w:tcW w:w="502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c>
          <w:tcPr>
            <w:tcW w:w="17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kern w:val="0"/>
                <w:sz w:val="24"/>
                <w:szCs w:val="24"/>
              </w:rPr>
            </w:pPr>
          </w:p>
        </w:tc>
        <w:tc>
          <w:tcPr>
            <w:tcW w:w="16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kern w:val="0"/>
                <w:sz w:val="24"/>
                <w:szCs w:val="24"/>
              </w:rPr>
            </w:pPr>
          </w:p>
        </w:tc>
        <w:tc>
          <w:tcPr>
            <w:tcW w:w="502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c>
          <w:tcPr>
            <w:tcW w:w="17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kern w:val="0"/>
                <w:sz w:val="24"/>
                <w:szCs w:val="24"/>
              </w:rPr>
            </w:pPr>
          </w:p>
        </w:tc>
        <w:tc>
          <w:tcPr>
            <w:tcW w:w="16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kern w:val="0"/>
                <w:sz w:val="24"/>
                <w:szCs w:val="24"/>
              </w:rPr>
            </w:pPr>
          </w:p>
        </w:tc>
        <w:tc>
          <w:tcPr>
            <w:tcW w:w="502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b/>
                <w:bCs/>
                <w:color w:val="000000"/>
                <w:kern w:val="0"/>
                <w:sz w:val="24"/>
                <w:szCs w:val="24"/>
              </w:rPr>
            </w:pPr>
          </w:p>
        </w:tc>
        <w:tc>
          <w:tcPr>
            <w:tcW w:w="17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bCs/>
                <w:kern w:val="0"/>
                <w:sz w:val="24"/>
                <w:szCs w:val="24"/>
              </w:rPr>
            </w:pPr>
          </w:p>
        </w:tc>
        <w:tc>
          <w:tcPr>
            <w:tcW w:w="16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bCs/>
                <w:kern w:val="0"/>
                <w:sz w:val="24"/>
                <w:szCs w:val="24"/>
              </w:rPr>
            </w:pPr>
          </w:p>
        </w:tc>
        <w:tc>
          <w:tcPr>
            <w:tcW w:w="5022"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b/>
                <w:bCs/>
                <w:color w:val="000000"/>
                <w:kern w:val="0"/>
                <w:sz w:val="24"/>
                <w:szCs w:val="24"/>
              </w:rPr>
            </w:pPr>
          </w:p>
        </w:tc>
      </w:tr>
    </w:tbl>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szCs w:val="24"/>
        </w:rPr>
      </w:pPr>
      <w:bookmarkStart w:id="9" w:name="_Toc30763"/>
      <w:r>
        <w:rPr>
          <w:rFonts w:hint="eastAsia" w:ascii="宋体" w:hAnsi="宋体" w:eastAsia="宋体" w:cs="宋体"/>
          <w:b/>
          <w:bCs/>
          <w:sz w:val="24"/>
          <w:szCs w:val="24"/>
        </w:rPr>
        <w:t>2.4 核查报告编写及内部技术复核</w:t>
      </w:r>
      <w:bookmarkEnd w:id="9"/>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根据文件评审和现场评审的发现，核查组组织编写了核查报告，并于 202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月 5日提交给独立于核查组的技术复核小组进行技术复核，技术复核人员根据方圆标志认证集团有限公司工作程序执行，核查组根据技术复核小组的意见，对核查报告进行了修改，修改完毕后，由技术复核小组再次对核查报告的一致性和完整性进行检查，确认无误后提交至受核查方。</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宋体" w:hAnsi="宋体" w:eastAsia="宋体" w:cs="宋体"/>
          <w:b/>
          <w:bCs/>
          <w:sz w:val="24"/>
          <w:szCs w:val="24"/>
        </w:rPr>
      </w:pPr>
      <w:bookmarkStart w:id="10" w:name="_Toc10012"/>
      <w:r>
        <w:rPr>
          <w:rFonts w:hint="eastAsia" w:ascii="宋体" w:hAnsi="宋体" w:eastAsia="宋体" w:cs="宋体"/>
          <w:b/>
          <w:bCs/>
          <w:sz w:val="24"/>
          <w:szCs w:val="24"/>
        </w:rPr>
        <w:t>3 核查发现</w:t>
      </w:r>
      <w:bookmarkEnd w:id="10"/>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宋体" w:hAnsi="宋体" w:eastAsia="宋体" w:cs="宋体"/>
          <w:b/>
          <w:bCs/>
          <w:sz w:val="24"/>
          <w:szCs w:val="24"/>
        </w:rPr>
      </w:pPr>
      <w:bookmarkStart w:id="11" w:name="_Toc22617"/>
      <w:r>
        <w:rPr>
          <w:rFonts w:hint="eastAsia" w:ascii="宋体" w:hAnsi="宋体" w:eastAsia="宋体" w:cs="宋体"/>
          <w:b/>
          <w:bCs/>
          <w:sz w:val="24"/>
          <w:szCs w:val="24"/>
        </w:rPr>
        <w:t>3.1 基本情况的核查</w:t>
      </w:r>
      <w:bookmarkEnd w:id="11"/>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3.1.1 基本信息</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中车戚墅堰机车有限公司始建于 1898 年，前身是上海吴淞机厂，1936 年迁至常州戚墅堰，并改名为戚墅堰机厂，2016 年中国南车股份有限公司、中国北车股份有限公司重组形成中车戚墅堰机车有限公司。是一家致力于铁路机车车辆及配件制造、修理的央企，是我国铁路客货运内燃机车的重要研发、制造和维修基地。企业位于常州市延陵东路 358 号，企业现占地面积近 98 万平方米，拥有资产 2.5 亿元，企业现有员工 4000 余人，拥有各类技术管理人员 1500 余人，拥有高级技师、技师、高级工等高技能人才近 1900 人，享受国务院政府津贴的专家 10 人，江苏省有突出贡献中青年专家 2 人，获得茅以升铁道工程师奖 3 人，詹天佑青年奖 2 人，江苏省“333 高层次人才工程”第三层培养对象 8 人，常州市科学技术杰出贡献奖 1 人。企业还被授予“江苏省高技能人才培养优秀示范基地”和“全国职工教育培训示范点”，先后荣获“国家技能人才培育突出贡献奖”、“高技能人才摇篮奖”、“全国五一劳动奖状”、“全国文明单位”等多项全国、省、市各级荣誉。</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建成国家级企业技术中心、国家博士后科研工作站、国家认可检测实验室、企业院士工作站、江苏省工程技术研究中心，具备国内领先的内燃机车设计、制造和试验验证能力和柴油机开发平台，拥有开发机车、柴油机的成熟经验和研发实力。近年来，围绕铁路市场，研制生产的东风 11 型、NZJ1 型、东风 11G 型准高速客运、“新曙光”号准高速4内燃机车动车组及“和谐长城号”号内燃动车组、东风 8B 型重载货运、“雪域神舟号”高原机车、东风 8CJ 型交流传动货运内燃机车、东风 11Z 型专用机车、装用径向转向架的东风 8B 型内燃机车、GKD2 型、GK2C 型以及 HXN5B 调车机车等一批具有自主知识产权的铁路产品，在服务中国铁路、地方铁路和工矿企业方面发挥了重要作用。其中研制的东风 11 型机车用于铁路首次大提速，拉开了中国铁路大提速的序幕；与美国 GE 公司合作生产的 HXN5 型大功率交流传动内燃机车，成为中国铁路干线上的货运主型机车；自主研发的 HXN5B 调车机车，各项技术指标优势明显，深受用户好评。</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五”发展的新起点上，企业确立新的发展愿景：抓住“一带一路”、“京津冀一体化”和“长江经济带”三大战略机遇，巩固并提升内燃机车和工业发动机的研发优势，实施核心产品的绿色、智能、精品化制造；拓展全球市场，实施国际化经营战略；进军电力机车新造和城市轨道交通装备领域，实现优势资源的前延后伸；围绕做优做强，科学配置资源，实现轻资产运作，努力将公司打造成中国内燃机车行业的双效型、精益型、领军型企业。</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3.1.2 受核查方组织机构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受核查方组织机构如图 3-1 所示</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502275" cy="2848610"/>
            <wp:effectExtent l="0" t="0" r="3175" b="8890"/>
            <wp:docPr id="107215358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53587"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12571" cy="2853847"/>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373" w:firstLineChars="1400"/>
        <w:textAlignment w:val="auto"/>
        <w:rPr>
          <w:rFonts w:hint="eastAsia" w:ascii="宋体" w:hAnsi="宋体" w:eastAsia="宋体" w:cs="宋体"/>
          <w:sz w:val="24"/>
          <w:szCs w:val="24"/>
        </w:rPr>
      </w:pPr>
      <w:r>
        <w:rPr>
          <w:rFonts w:hint="eastAsia" w:ascii="宋体" w:hAnsi="宋体" w:eastAsia="宋体" w:cs="宋体"/>
          <w:b/>
          <w:bCs/>
          <w:sz w:val="24"/>
          <w:szCs w:val="24"/>
        </w:rPr>
        <w:t>图 3-1 组织管理结构图</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受核查方能源管理工作由安技环保部负责。</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3.1.3 受核查方主要生产工艺流程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受核查方生产的主要产品为铁路机车车辆，生产工艺流程见图 3-2</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1937385"/>
            <wp:effectExtent l="0" t="0" r="2540" b="5715"/>
            <wp:docPr id="10034815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81520"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193738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409" w:firstLineChars="10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图 3-2 机车制造工艺流程图</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3.1.3.1 铸造系统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sz w:val="24"/>
          <w:szCs w:val="24"/>
        </w:rPr>
      </w:pPr>
      <w:bookmarkStart w:id="12" w:name="_Toc22791"/>
      <w:r>
        <w:rPr>
          <w:rFonts w:hint="eastAsia" w:ascii="宋体" w:hAnsi="宋体" w:eastAsia="宋体" w:cs="宋体"/>
          <w:sz w:val="24"/>
          <w:szCs w:val="24"/>
        </w:rPr>
        <w:t>1、离心铸造工艺</w:t>
      </w:r>
      <w:bookmarkEnd w:id="12"/>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drawing>
          <wp:inline distT="0" distB="0" distL="0" distR="0">
            <wp:extent cx="5274310" cy="2721610"/>
            <wp:effectExtent l="0" t="0" r="2540" b="2540"/>
            <wp:docPr id="30902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248"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2721610"/>
                    </a:xfrm>
                    <a:prstGeom prst="rect">
                      <a:avLst/>
                    </a:prstGeom>
                    <a:noFill/>
                    <a:ln>
                      <a:noFill/>
                    </a:ln>
                  </pic:spPr>
                </pic:pic>
              </a:graphicData>
            </a:graphic>
          </wp:inline>
        </w:drawing>
      </w: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将外购铁通过加料机投入到 1.5t、0.5t 中频感应炉加热熔化（G1：产生烟尘），浇 注机将定量的铁水浇注到装配好的铸型中（产生 G2：浇注废气），浇注成所需形状后（用 水直接冷却成形，冷却水循环使用）由人工进行修边、去刺（产生 S1：金属边角料），然 后送抛丸机进行抛光处理（产生 G3：抛丸烟尘）。抛光后检查入库根据生产要求转到涂装 工序或机械加工工序。</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outlineLvl w:val="9"/>
        <w:rPr>
          <w:rFonts w:hint="eastAsia" w:ascii="宋体" w:hAnsi="宋体" w:eastAsia="宋体" w:cs="宋体"/>
          <w:sz w:val="24"/>
          <w:szCs w:val="24"/>
        </w:rPr>
      </w:pPr>
      <w:bookmarkStart w:id="13" w:name="_Toc10888"/>
      <w:r>
        <w:rPr>
          <w:rFonts w:hint="eastAsia" w:ascii="宋体" w:hAnsi="宋体" w:eastAsia="宋体" w:cs="宋体"/>
          <w:sz w:val="24"/>
          <w:szCs w:val="24"/>
        </w:rPr>
        <w:t>2、呋喃树脂砂铸造工艺</w:t>
      </w:r>
      <w:bookmarkEnd w:id="13"/>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将生铁、废钢、浇冒口等通过加料机投入到中频感应炉加热熔化（产生 G4：烟尘）， 浇注机将定量的铁水浇注到装配好的铸型中（产生 G5：浇注废气），在制造铸型过程中采 用混砂机对新砂、回用旧砂（产生 G12：粉尘）进行混砂（产生 G6：粉尘），浇注成所需 形状后（用水直接冷却成形，冷却水循环使用）由落砂机落砂（产生 G7：粉尘），用过的 砂进行再生（产生 G8：粉尘，S2：废砂），再进行人工修边、去浇冒口（产生 S3：金属 边角料），然后送抛丸机进行抛光处理（产生 G9：抛丸烟尘）。抛光后机加工（产生 S4： 金属边角料）、热处理炉加热（产生 G10：加热废气），需要喷漆的部件进行喷漆（产生 G11：有机废气），检查入库，再根据生产要求转到其他部分加工。</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drawing>
          <wp:inline distT="0" distB="0" distL="0" distR="0">
            <wp:extent cx="5274310" cy="4972685"/>
            <wp:effectExtent l="0" t="0" r="2540" b="0"/>
            <wp:docPr id="15950885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88530" name="图片 1"/>
                    <pic:cNvPicPr>
                      <a:picLocks noChangeAspect="1"/>
                    </pic:cNvPicPr>
                  </pic:nvPicPr>
                  <pic:blipFill>
                    <a:blip r:embed="rId7"/>
                    <a:stretch>
                      <a:fillRect/>
                    </a:stretch>
                  </pic:blipFill>
                  <pic:spPr>
                    <a:xfrm>
                      <a:off x="0" y="0"/>
                      <a:ext cx="5274310" cy="497268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sz w:val="24"/>
          <w:szCs w:val="24"/>
        </w:rPr>
      </w:pPr>
      <w:bookmarkStart w:id="14" w:name="_Toc16188"/>
      <w:r>
        <w:rPr>
          <w:rFonts w:hint="eastAsia" w:ascii="宋体" w:hAnsi="宋体" w:eastAsia="宋体" w:cs="宋体"/>
          <w:sz w:val="24"/>
          <w:szCs w:val="24"/>
        </w:rPr>
        <w:t>3、铸铜生产工艺流程</w:t>
      </w:r>
      <w:bookmarkEnd w:id="14"/>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drawing>
          <wp:inline distT="0" distB="0" distL="0" distR="0">
            <wp:extent cx="5274310" cy="1000760"/>
            <wp:effectExtent l="0" t="0" r="2540" b="8890"/>
            <wp:docPr id="9670678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67835" name="图片 1"/>
                    <pic:cNvPicPr>
                      <a:picLocks noChangeAspect="1"/>
                    </pic:cNvPicPr>
                  </pic:nvPicPr>
                  <pic:blipFill>
                    <a:blip r:embed="rId8"/>
                    <a:stretch>
                      <a:fillRect/>
                    </a:stretch>
                  </pic:blipFill>
                  <pic:spPr>
                    <a:xfrm>
                      <a:off x="0" y="0"/>
                      <a:ext cx="5274310" cy="100076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工艺流程简述：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将外购铜锭及去浇冒口的铜放入 500kg 中频炉（2 台）中熔化成铜水（产生 G13：烟 尘），然后沿模具壁注入高速转动的圆形模具，冷却后将多余浇冒口去除回用（产生 S5： 金属边角料），产品入库。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outlineLvl w:val="9"/>
        <w:rPr>
          <w:rFonts w:hint="eastAsia" w:ascii="宋体" w:hAnsi="宋体" w:eastAsia="宋体" w:cs="宋体"/>
          <w:sz w:val="24"/>
          <w:szCs w:val="24"/>
        </w:rPr>
      </w:pPr>
      <w:bookmarkStart w:id="15" w:name="_Toc19756"/>
      <w:r>
        <w:rPr>
          <w:rFonts w:hint="eastAsia" w:ascii="宋体" w:hAnsi="宋体" w:eastAsia="宋体" w:cs="宋体"/>
          <w:sz w:val="24"/>
          <w:szCs w:val="24"/>
        </w:rPr>
        <w:t>4、模具车间生产工艺流程</w:t>
      </w:r>
      <w:bookmarkEnd w:id="15"/>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模具因材质不同，工艺也不同。主要有木模、塑料模、碳模。</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3" w:firstLineChars="3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drawing>
          <wp:inline distT="0" distB="0" distL="0" distR="0">
            <wp:extent cx="3636645" cy="3256915"/>
            <wp:effectExtent l="0" t="0" r="1905" b="635"/>
            <wp:docPr id="213069189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91894"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36645" cy="3256915"/>
                    </a:xfrm>
                    <a:prstGeom prst="rect">
                      <a:avLst/>
                    </a:prstGeom>
                    <a:noFill/>
                    <a:ln>
                      <a:noFill/>
                    </a:ln>
                  </pic:spPr>
                </pic:pic>
              </a:graphicData>
            </a:graphic>
          </wp:inline>
        </w:drawing>
      </w:r>
      <w:r>
        <w:rPr>
          <w:rFonts w:hint="eastAsia" w:ascii="宋体" w:hAnsi="宋体" w:eastAsia="宋体" w:cs="宋体"/>
          <w:b/>
          <w:bCs/>
          <w:sz w:val="24"/>
          <w:szCs w:val="24"/>
        </w:rPr>
        <w:t xml:space="preserve">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将木料按照模具要求进行加工（产生 G14：粉尘）；对塑料模具打磨（产生 G15：粉尘） 后进行贴内膜加工（产生 G16：甲醛）；模具车间还有用于石墨电极的碳粉打磨工段（不 用于铸造）（产生 G17：碳黑粉尘）。</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3" w:firstLineChars="3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3.1.3.2 锻冶系统</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120" w:firstLineChars="1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1、弹簧工艺流程图：</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3" w:firstLineChars="3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drawing>
          <wp:inline distT="0" distB="0" distL="0" distR="0">
            <wp:extent cx="4438650" cy="1435100"/>
            <wp:effectExtent l="0" t="0" r="0" b="0"/>
            <wp:docPr id="38151448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14483"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38650" cy="14351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工艺流程简述：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将原料检测后在局部加热炉中加热（产生 G18：加热废气），之后放入整体加热炉中 加热（产生 G19：加热废气），再按加工要求通过卷簧机加工到相应精度，经过退火、淬 火（产生 S6：废热处理油）后进行探伤，对合格弹簧抛丸处理（产生 G20：加热废气后入库。</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3" w:firstLineChars="3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3.1.3.3 柴油机制造系统</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840" w:firstLineChars="16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840" w:firstLineChars="16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840" w:firstLineChars="16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1、柴油机机体</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599940" cy="1449070"/>
            <wp:effectExtent l="0" t="0" r="0" b="0"/>
            <wp:docPr id="18272285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28554"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99940" cy="144907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按照生产要求在铸件毛坯上划线，然后对机体各面、轴承座咬口面、汽缸口进行机加工（产生 S7：金属边角料、S8：废机油、W1：乳化液废水）；然后在水压试验台试验（产生 W2：试验废水），合格产品利用镗床、加工中心提高精度，之后对柴油机机体内外清洗（产生 W3：清洗废水），最后利用三坐标测量机对机体尺寸精度及型位精度检测。</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2、曲轴</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1440" w:firstLineChars="600"/>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3945890" cy="1392555"/>
            <wp:effectExtent l="0" t="0" r="0" b="0"/>
            <wp:docPr id="7901210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21010"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45890" cy="139255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对铸件毛坯曲轴与平衡块焊接（产生 G33:焊接烟尘），在通过调质（淬火＋回火）的方法改变起组织得到所需要的性能（产生 S9：废热处理油）。然后根据机车曲轴结构和加工内容要求进行磨削、车、铣等机加工（产生 W1：乳化液废水、S10：金属边角料和 S11：废机油）；再通过井式氮化炉（形成氨气保护氛围，连续排出未反应的氨气）改变工件表层化学成分（产生 G21:氮化废气），而后对曲轴进行抛光（没有粉尘产生）达到表面精度要求。</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3、缸头、加强套、气缸套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缸头</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599940" cy="3122930"/>
            <wp:effectExtent l="0" t="0" r="0" b="1270"/>
            <wp:docPr id="191530222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02223"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99940" cy="312293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按照机车“缸头、加强套、气缸套”技术要求，将铸造毛坯机加工（产生 W1：乳化液废水、S12、S14、S16：金属边角料和 S13、S15、S17：废机油），采用高低压测漏设备对缸头和加强套进行试验（产生 W4、 W6：试验废水），合格产品清洗（产生 W5、W7：清洗废水），最后利用三坐标测量机对机体尺寸精度及型位精度检测入库。</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4、连杆</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677410" cy="1406525"/>
            <wp:effectExtent l="0" t="0" r="8890" b="3175"/>
            <wp:docPr id="3902787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78723"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77410" cy="1406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毛坯通过调质（淬火＋回火）的方法改变起组织得到所需要的性能（产生 S18：废热处理油）。然后根据机车连杆结构和加工内容要求进行磨削、车、铣等机加工（产生 W1</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乳化液废水、S19：金属边角料和 S20：废机油）；而后对连杆进行抛光达到表面精度要求（产生 G35:抛丸烟尘）。</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5、凸轮轴</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761865" cy="991870"/>
            <wp:effectExtent l="0" t="0" r="635" b="0"/>
            <wp:docPr id="503828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2817" name="图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761865" cy="99187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锻件毛坯先钻中心孔和粗车外形，再通过调质（淬火＋回火）的方法改变起组织得到所需要的性能（产生 S21：废热处理油）；然后采用车铣加工中心完成凸轮、轴颈部、两端法兰及定位销孔等部位加工，并采用中频感应淬火设备对工件处理，提高表面硬度均匀性和淬硬层分布的要求；而后对凸轮轴进行精磨达到表面精度要求。机加工过程中产生 W1：乳化液废水、S22：金属边角料和 S23：废机油。</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6、精密螺栓</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382135" cy="886460"/>
            <wp:effectExtent l="0" t="0" r="0" b="8890"/>
            <wp:docPr id="2672576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5766" name="图片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82135" cy="88646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精密螺栓为主轴承螺栓、汽缸螺栓、连杆螺栓等柴油机的重要连接螺栓。毛坯先铣端面打中心孔和粗车外园，通过调质(淬火＋回火)的方法改变起组织得到所需要的性能(产生S26:废热处理油）。然后根据要求进行车端面、修复中心孔、外圆、滚丝等机加工;而后对螺栓检查入库。机加工过程中产生W1:乳化液废水、S24:金属边角料和S25:废机油。</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7、气阀</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796790" cy="1238250"/>
            <wp:effectExtent l="0" t="0" r="3810" b="6350"/>
            <wp:docPr id="179876625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66258" name="图片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96790" cy="12382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气阀分为排气门和进气门加工，主要工序为:毛坯通过热处理（淬火＋回火）的方法改变起组织得到所需要的性能。然后对阀杆、阀盘外圆、中心孔、R颈、阀面、底面进行磨削、车、铣等机加工（产生wI:乳化液废水、S28:金属边角料和S27:废机油)﹔而后对进气阀阀面进行等离子焊接（产生G23:焊接烟尘)。</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8、柴油机组装</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柴油机总装线l条，其中包括:l套总组装翻转装置、1条柴油机组装线，1条柴油机动力组组装线，并新增专用测量和扭力装置一套。组装过程中没有污染物产生。</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9、柴油机试验部分</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3903980" cy="3312795"/>
            <wp:effectExtent l="0" t="0" r="1270" b="1905"/>
            <wp:docPr id="129958244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82445"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903980" cy="331279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将制造好的柴油机放置于试验台位上，编号，检查与台位的连接情况，并检测试验设备的状态，之后将柴油注入柴油机，水注入冷却循环系统（冷却水系统分为高温水和中冷水两路分别对柴油机进行冷却）。初始启动，检查发火情况和正时检查，然后停机，打开柴油机缸盖，检查凸轮轴、水压、管路等部件情况，检查完毕，盖上缸盖，对照工况表，进行磨合试验，负载系统采用三组直流干电阻，并建立电力回馈，将电能回收点网。结束后再停机检查，然后在额定功率下进行验收试验 2 小时，考核油耗、中冷气效率等指标。</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如需要进行排放试验的柴油机（机车抽取样品 10%进行排气试验），进行 8 小时的试验（产生调试废气），试验结束后柴油机下台，将柴油和水排出，柴油循环利用。</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3.1.3.4 转向架制造系统</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drawing>
          <wp:inline distT="0" distB="0" distL="0" distR="0">
            <wp:extent cx="4572000" cy="3502660"/>
            <wp:effectExtent l="0" t="0" r="0" b="2540"/>
            <wp:docPr id="3073304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30448" name="图片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72000" cy="350266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按照生产要求加工横梁、侧梁、车轮、车轴、抱轴箱体，对车轮、车轴和抱轴箱进行 轮对组装；将加工好的横梁、侧梁按生产要求焊接（产生 G24：焊接烟尘），构架组装， 并进行车、磨等机加工达到精度要求，采用高速高效抛丸机对构架及部分板料抛丸（产生 G25：抛丸粉尘），更好的保证油漆涂装表面质量。喷漆采用干式喷涂工艺（产生 G26：有 机废气和 S32：漆渣）后连同轮对一起组装，最后进行试验。机加工过程中产生 W1：乳化 液废水、S30：金属边角料和 S29：废机油。</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3.1.3.5 车体制造系统</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drawing>
          <wp:inline distT="0" distB="0" distL="0" distR="0">
            <wp:extent cx="4726940" cy="1835785"/>
            <wp:effectExtent l="0" t="0" r="0" b="0"/>
            <wp:docPr id="19169680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68034" name="图片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26940" cy="183578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工艺流程简述：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机车车体为底架承载结构，模块化设计，整个车体由车架、司机室、散热器室、动力 室、电器室、辅助逆变室等 6 大模块组装而成，为单司机室结构。底架上有一个纵向的主 梁，承受纵向牵引和制动载荷。先进行钢板前处理（产生 G28:抛丸粉尘）司机室蒙皮焊接 采用等离子定位焊接装置，车体各室焊接采用模块组焊装置（产生 G29、G30:焊接烟尘）， 组装结束后进行各室喷漆（产生 G31:有机废气）</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3.1.3.6 电机部分</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drawing>
          <wp:inline distT="0" distB="0" distL="0" distR="0">
            <wp:extent cx="4599940" cy="1040765"/>
            <wp:effectExtent l="0" t="0" r="0" b="6985"/>
            <wp:docPr id="210392226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22267" name="图片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599940" cy="104076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电机部分主要是维修旧电机。对旧电机解体，清洗（产生 W9 ：含油水）后喷漆（产生 G32:有机废气），最后进行实验。</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3.1.3.7 机车组装试验系</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drawing>
          <wp:inline distT="0" distB="0" distL="0" distR="0">
            <wp:extent cx="4002405" cy="2616835"/>
            <wp:effectExtent l="0" t="0" r="0" b="0"/>
            <wp:docPr id="195871048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10489" name="图片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02405" cy="26168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工艺流程简述：</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机车的总组装与试验系统包括：零部件组装、大部件组装、机车总组装、机车试验等部分。将转向架、柴油机、车体各室总组装，落车后在机车整车性能定置试验台进行牵引性能及相关试验并进行静态试验。</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3.1.4 使用的能源品种和能源统计报告情况</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受核查方使用的能源品种为：柴油、汽油、</w:t>
      </w:r>
      <w:r>
        <w:rPr>
          <w:rFonts w:hint="eastAsia" w:ascii="宋体" w:hAnsi="宋体" w:eastAsia="宋体" w:cs="宋体"/>
          <w:sz w:val="24"/>
          <w:szCs w:val="24"/>
          <w:lang w:eastAsia="zh-CN"/>
        </w:rPr>
        <w:t>液化石油气</w:t>
      </w:r>
      <w:r>
        <w:rPr>
          <w:rFonts w:hint="eastAsia" w:ascii="宋体" w:hAnsi="宋体" w:eastAsia="宋体" w:cs="宋体"/>
          <w:sz w:val="24"/>
          <w:szCs w:val="24"/>
        </w:rPr>
        <w:t>、煤油、丙烷、乙炔、电力、热力等。其中柴油用于柴油机工况试验和性能试验、内燃机车自负荷试验、水阻试验和正线试验，机车车辆调机、铸件生产、车辆运输、零部件清洗及汽车运输；汽油用于汽车运输；煤油用于零件清洗和工件热处理渗碳；</w:t>
      </w:r>
      <w:r>
        <w:rPr>
          <w:rFonts w:hint="eastAsia" w:ascii="宋体" w:hAnsi="宋体" w:eastAsia="宋体" w:cs="宋体"/>
          <w:sz w:val="24"/>
          <w:szCs w:val="24"/>
          <w:lang w:eastAsia="zh-CN"/>
        </w:rPr>
        <w:t>液化石油气</w:t>
      </w:r>
      <w:r>
        <w:rPr>
          <w:rFonts w:hint="eastAsia" w:ascii="宋体" w:hAnsi="宋体" w:eastAsia="宋体" w:cs="宋体"/>
          <w:sz w:val="24"/>
          <w:szCs w:val="24"/>
        </w:rPr>
        <w:t>用于铸件和锻件生产，作为铸件热处理炉燃料和锻造加热炉燃料；丙烷、乙炔用于钢结构件的切割焊接；电力用于生产车间耗电设备及附属设施的能源供应；热力（蒸汽）用于内燃机车油漆烘干、工件清洗等。煤油清洗不涉及温室气体排放，因此不属于核查范围内。</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以上能源的消耗量由安技环保部负责统计，同时财务部也有根据发票按月统计。</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16" w:name="_Toc32420"/>
      <w:r>
        <w:rPr>
          <w:rFonts w:hint="eastAsia" w:ascii="宋体" w:hAnsi="宋体" w:eastAsia="宋体" w:cs="宋体"/>
          <w:b/>
          <w:bCs/>
          <w:sz w:val="24"/>
          <w:szCs w:val="24"/>
        </w:rPr>
        <w:t>3.2 核算边界的核查</w:t>
      </w:r>
      <w:bookmarkEnd w:id="16"/>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3.2.1 核算边界的符合性</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通过文件评审及现场访问过程中查阅相关资料、与受核查方代表访谈，核查组确认受核查方为独立法人，组织核算边界是基于运行控制权对设施层面的温室气体源或汇的进行汇总。经现场核查确认，受核查方企业边界为排放单位所有在江苏省常州市延陵东路 358 号生产经营场所内的生产单元固定设施、移动设施、附属设施导致的二氧化碳直接排放和二氧化碳间接排放。</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3.2.2 排放源和气体种类</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通过文件评审及现场访问过程中查阅相关资料、与受核查方代表访谈，核查组确认核算边界内的排放源及气体种类如下表所示：</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17" w:name="_Toc16685"/>
      <w:r>
        <w:rPr>
          <w:rFonts w:hint="eastAsia" w:ascii="宋体" w:hAnsi="宋体" w:eastAsia="宋体" w:cs="宋体"/>
          <w:b/>
          <w:bCs/>
          <w:sz w:val="24"/>
          <w:szCs w:val="24"/>
        </w:rPr>
        <w:t>3.3 核算方法的核查</w:t>
      </w:r>
      <w:bookmarkEnd w:id="17"/>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核查组对排放报告中的核算方法进行了核查，核算方法依据《ISO14064-1：2018》，相关参数参考《工业其他行业企业温室气体排放核算方法与报告指南（试行）》（以下简称《核算指南》），核查组确认核算方法的选择符合《ISO14064-1：2018》的要求，不存在任何偏移。</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受核查企业的温室气体排放总量按下式计算：</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3.3.1直接温室气体排放</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企业组织层面内的温室气体直接排放主要为固定源化石燃料燃烧、移动源化石燃料燃 烧温室气体排放，企业生产过程不产生温室气体，污水站处理工艺为好氧处理工艺，因此 工业生产过程无温室气体排放。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3855" w:firstLineChars="1600"/>
        <w:jc w:val="left"/>
        <w:textAlignment w:val="auto"/>
        <w:rPr>
          <w:rFonts w:hint="eastAsia" w:ascii="宋体" w:hAnsi="宋体" w:eastAsia="宋体" w:cs="宋体"/>
          <w:sz w:val="24"/>
          <w:szCs w:val="24"/>
        </w:rPr>
      </w:pPr>
      <w:r>
        <w:rPr>
          <w:rFonts w:hint="eastAsia" w:ascii="宋体" w:hAnsi="宋体" w:eastAsia="宋体" w:cs="宋体"/>
          <w:b/>
          <w:bCs/>
          <w:sz w:val="24"/>
          <w:szCs w:val="24"/>
        </w:rPr>
        <w:t>表 3-1 主要排放源和气体种</w:t>
      </w:r>
      <w:r>
        <w:rPr>
          <w:rFonts w:hint="eastAsia" w:ascii="宋体" w:hAnsi="宋体" w:eastAsia="宋体" w:cs="宋体"/>
          <w:sz w:val="24"/>
          <w:szCs w:val="24"/>
        </w:rPr>
        <w:fldChar w:fldCharType="begin"/>
      </w:r>
      <w:r>
        <w:rPr>
          <w:sz w:val="24"/>
          <w:szCs w:val="24"/>
        </w:rPr>
        <w:instrText xml:space="preserve"> LINK Excel.Sheet.12 "工作簿2" "Sheet1!R1C1:R8C5" \a \f 4 \h  \* MERGEFORMAT</w:instrText>
      </w:r>
      <w:r>
        <w:rPr>
          <w:rFonts w:hint="eastAsia" w:ascii="宋体" w:hAnsi="宋体" w:eastAsia="宋体" w:cs="宋体"/>
          <w:sz w:val="24"/>
          <w:szCs w:val="24"/>
        </w:rPr>
        <w:fldChar w:fldCharType="separate"/>
      </w:r>
    </w:p>
    <w:tbl>
      <w:tblPr>
        <w:tblStyle w:val="8"/>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64"/>
        <w:gridCol w:w="3846"/>
        <w:gridCol w:w="173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38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设施/活动</w:t>
            </w:r>
          </w:p>
        </w:tc>
        <w:tc>
          <w:tcPr>
            <w:tcW w:w="17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排放源</w:t>
            </w:r>
          </w:p>
        </w:tc>
        <w:tc>
          <w:tcPr>
            <w:tcW w:w="11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气体种类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直接排放</w:t>
            </w:r>
          </w:p>
        </w:tc>
        <w:tc>
          <w:tcPr>
            <w:tcW w:w="24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固定源燃料直接排放</w:t>
            </w:r>
          </w:p>
        </w:tc>
        <w:tc>
          <w:tcPr>
            <w:tcW w:w="38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热处理炉、退火炉等燃料燃烧</w:t>
            </w:r>
          </w:p>
        </w:tc>
        <w:tc>
          <w:tcPr>
            <w:tcW w:w="17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液化石油气</w:t>
            </w:r>
            <w:r>
              <w:rPr>
                <w:rFonts w:hint="eastAsia" w:ascii="宋体" w:hAnsi="宋体" w:eastAsia="宋体" w:cs="宋体"/>
                <w:color w:val="000000"/>
                <w:kern w:val="0"/>
                <w:sz w:val="24"/>
                <w:szCs w:val="24"/>
              </w:rPr>
              <w:t>燃烧</w:t>
            </w:r>
          </w:p>
        </w:tc>
        <w:tc>
          <w:tcPr>
            <w:tcW w:w="11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2464"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移动源燃料直接排放</w:t>
            </w:r>
          </w:p>
        </w:tc>
        <w:tc>
          <w:tcPr>
            <w:tcW w:w="38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内燃机车等燃料燃烧</w:t>
            </w:r>
          </w:p>
        </w:tc>
        <w:tc>
          <w:tcPr>
            <w:tcW w:w="17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柴油燃烧</w:t>
            </w:r>
          </w:p>
        </w:tc>
        <w:tc>
          <w:tcPr>
            <w:tcW w:w="11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246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38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场内车辆运输</w:t>
            </w:r>
          </w:p>
        </w:tc>
        <w:tc>
          <w:tcPr>
            <w:tcW w:w="17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汽油燃烧</w:t>
            </w:r>
          </w:p>
        </w:tc>
        <w:tc>
          <w:tcPr>
            <w:tcW w:w="11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246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38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钢结构件的切割焊接</w:t>
            </w:r>
          </w:p>
        </w:tc>
        <w:tc>
          <w:tcPr>
            <w:tcW w:w="17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乙炔、丙烷燃烧</w:t>
            </w:r>
          </w:p>
        </w:tc>
        <w:tc>
          <w:tcPr>
            <w:tcW w:w="11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24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工业过程直接排放</w:t>
            </w:r>
          </w:p>
        </w:tc>
        <w:tc>
          <w:tcPr>
            <w:tcW w:w="38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二氧化碳保护焊姐</w:t>
            </w:r>
          </w:p>
        </w:tc>
        <w:tc>
          <w:tcPr>
            <w:tcW w:w="17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二氧化碳排放</w:t>
            </w:r>
          </w:p>
        </w:tc>
        <w:tc>
          <w:tcPr>
            <w:tcW w:w="11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间接排放</w:t>
            </w:r>
          </w:p>
        </w:tc>
        <w:tc>
          <w:tcPr>
            <w:tcW w:w="24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外购电力</w:t>
            </w:r>
          </w:p>
        </w:tc>
        <w:tc>
          <w:tcPr>
            <w:tcW w:w="38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热处理炉、电弧炉、锻造加热炉、空压机等生产用电设备</w:t>
            </w:r>
          </w:p>
        </w:tc>
        <w:tc>
          <w:tcPr>
            <w:tcW w:w="17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w:t>
            </w:r>
          </w:p>
        </w:tc>
        <w:tc>
          <w:tcPr>
            <w:tcW w:w="11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24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外购蒸汽</w:t>
            </w:r>
          </w:p>
        </w:tc>
        <w:tc>
          <w:tcPr>
            <w:tcW w:w="38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烘漆设备等用汽设施及机车清洗等过程</w:t>
            </w:r>
          </w:p>
        </w:tc>
        <w:tc>
          <w:tcPr>
            <w:tcW w:w="17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热力</w:t>
            </w:r>
          </w:p>
        </w:tc>
        <w:tc>
          <w:tcPr>
            <w:tcW w:w="116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r>
    </w:tbl>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lang w:val="en-US" w:eastAsia="zh-CN"/>
        </w:rPr>
      </w:pPr>
      <w:bookmarkStart w:id="18" w:name="_Toc28422"/>
      <w:r>
        <w:rPr>
          <w:rFonts w:hint="eastAsia" w:ascii="宋体" w:hAnsi="宋体" w:eastAsia="宋体" w:cs="宋体"/>
          <w:sz w:val="24"/>
          <w:szCs w:val="24"/>
        </w:rPr>
        <w:fldChar w:fldCharType="end"/>
      </w: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 核算方法的</w:t>
      </w:r>
      <w:r>
        <w:rPr>
          <w:rFonts w:hint="eastAsia" w:ascii="宋体" w:hAnsi="宋体" w:eastAsia="宋体" w:cs="宋体"/>
          <w:b/>
          <w:bCs/>
          <w:sz w:val="24"/>
          <w:szCs w:val="24"/>
          <w:lang w:val="en-US" w:eastAsia="zh-CN"/>
        </w:rPr>
        <w:t>依据</w:t>
      </w:r>
      <w:bookmarkEnd w:id="18"/>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核查组对排放报告中的核算方法进行了核查，核算方法依据《ISO14064-1：2018》，</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相关参数参考《工业其他行业企业温室气体排放核算方法与报告指南（试行）》（以下简</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称《核算指南》），核查组确认核算方法的选择符合《ISO14064-1：2018》的要求，不存</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在任何偏移。</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受核查企业的温室气体排放总量按下式计算：</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企业组织层面的温室气体排放总量按下式计算：</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640" w:firstLineChars="1100"/>
        <w:jc w:val="left"/>
        <w:textAlignment w:val="auto"/>
        <w:rPr>
          <w:rFonts w:hint="eastAsia" w:ascii="宋体" w:hAnsi="宋体" w:eastAsia="宋体" w:cs="宋体"/>
          <w:sz w:val="24"/>
          <w:szCs w:val="24"/>
        </w:rPr>
      </w:pPr>
      <w:r>
        <w:rPr>
          <w:rFonts w:hint="eastAsia" w:ascii="宋体" w:hAnsi="宋体" w:eastAsia="宋体" w:cs="宋体"/>
          <w:i/>
          <w:iCs/>
          <w:sz w:val="24"/>
          <w:szCs w:val="24"/>
        </w:rPr>
        <w:t>E</w:t>
      </w:r>
      <w:r>
        <w:rPr>
          <w:rFonts w:hint="eastAsia" w:ascii="宋体" w:hAnsi="宋体" w:eastAsia="宋体" w:cs="宋体"/>
          <w:i/>
          <w:iCs/>
          <w:sz w:val="24"/>
          <w:szCs w:val="24"/>
          <w:vertAlign w:val="subscript"/>
        </w:rPr>
        <w:t>GHG</w:t>
      </w:r>
      <w:r>
        <w:rPr>
          <w:rFonts w:hint="eastAsia" w:ascii="宋体" w:hAnsi="宋体" w:eastAsia="宋体" w:cs="宋体"/>
          <w:i/>
          <w:iCs/>
          <w:sz w:val="24"/>
          <w:szCs w:val="24"/>
        </w:rPr>
        <w:t xml:space="preserve"> = E </w:t>
      </w:r>
      <w:r>
        <w:rPr>
          <w:rFonts w:hint="eastAsia" w:ascii="宋体" w:hAnsi="宋体" w:eastAsia="宋体" w:cs="宋体"/>
          <w:i/>
          <w:iCs/>
          <w:sz w:val="24"/>
          <w:szCs w:val="24"/>
          <w:vertAlign w:val="subscript"/>
        </w:rPr>
        <w:t>直接</w:t>
      </w:r>
      <w:r>
        <w:rPr>
          <w:rFonts w:hint="eastAsia" w:ascii="宋体" w:hAnsi="宋体" w:eastAsia="宋体" w:cs="宋体"/>
          <w:i/>
          <w:iCs/>
          <w:sz w:val="24"/>
          <w:szCs w:val="24"/>
        </w:rPr>
        <w:t xml:space="preserve"> + E </w:t>
      </w:r>
      <w:r>
        <w:rPr>
          <w:rFonts w:hint="eastAsia" w:ascii="宋体" w:hAnsi="宋体" w:eastAsia="宋体" w:cs="宋体"/>
          <w:i/>
          <w:iCs/>
          <w:sz w:val="24"/>
          <w:szCs w:val="24"/>
          <w:vertAlign w:val="subscript"/>
        </w:rPr>
        <w:t xml:space="preserve">间接           </w:t>
      </w:r>
      <w:r>
        <w:rPr>
          <w:rFonts w:hint="eastAsia" w:ascii="宋体" w:hAnsi="宋体" w:eastAsia="宋体" w:cs="宋体"/>
          <w:sz w:val="24"/>
          <w:szCs w:val="24"/>
        </w:rPr>
        <w:t>（1）</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E</w:t>
      </w:r>
      <w:r>
        <w:rPr>
          <w:rFonts w:hint="eastAsia" w:ascii="宋体" w:hAnsi="宋体" w:eastAsia="宋体" w:cs="宋体"/>
          <w:i/>
          <w:iCs/>
          <w:sz w:val="24"/>
          <w:szCs w:val="24"/>
          <w:vertAlign w:val="subscript"/>
        </w:rPr>
        <w:t>GHG</w:t>
      </w:r>
      <w:r>
        <w:rPr>
          <w:rFonts w:hint="eastAsia" w:ascii="宋体" w:hAnsi="宋体" w:eastAsia="宋体" w:cs="宋体"/>
          <w:sz w:val="24"/>
          <w:szCs w:val="24"/>
        </w:rPr>
        <w:t xml:space="preserve"> —— 报告主体的温室气体排放总量，单位为吨 CO2当量；</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E</w:t>
      </w:r>
      <w:r>
        <w:rPr>
          <w:rFonts w:hint="eastAsia" w:ascii="宋体" w:hAnsi="宋体" w:eastAsia="宋体" w:cs="宋体"/>
          <w:i/>
          <w:iCs/>
          <w:sz w:val="24"/>
          <w:szCs w:val="24"/>
          <w:vertAlign w:val="subscript"/>
        </w:rPr>
        <w:t>直接</w:t>
      </w:r>
      <w:r>
        <w:rPr>
          <w:rFonts w:hint="eastAsia" w:ascii="宋体" w:hAnsi="宋体" w:eastAsia="宋体" w:cs="宋体"/>
          <w:sz w:val="24"/>
          <w:szCs w:val="24"/>
        </w:rPr>
        <w:t>—— 企业边界内温室气体直接排放量，单位为吨 CO2当量；</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E</w:t>
      </w:r>
      <w:r>
        <w:rPr>
          <w:rFonts w:hint="eastAsia" w:ascii="宋体" w:hAnsi="宋体" w:eastAsia="宋体" w:cs="宋体"/>
          <w:i/>
          <w:iCs/>
          <w:sz w:val="24"/>
          <w:szCs w:val="24"/>
          <w:vertAlign w:val="subscript"/>
        </w:rPr>
        <w:t>间接</w:t>
      </w:r>
      <w:r>
        <w:rPr>
          <w:rFonts w:hint="eastAsia" w:ascii="宋体" w:hAnsi="宋体" w:eastAsia="宋体" w:cs="宋体"/>
          <w:sz w:val="24"/>
          <w:szCs w:val="24"/>
        </w:rPr>
        <w:t>—— 企业边界内温室气体间接排放量，单位为吨 CO2当量。</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.1直接温室气体排放</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企业组织层面内的温室气体直接排放主要为固定源化石燃料燃烧、移动源化石燃料燃</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烧温室气体排放，企业生产过程不产生温室气体，污水站处理工艺为好氧处理工艺，因此</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工业生产过程无温室气体排放。</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640" w:firstLineChars="1100"/>
        <w:jc w:val="left"/>
        <w:textAlignment w:val="auto"/>
        <w:rPr>
          <w:rFonts w:hint="eastAsia" w:ascii="宋体" w:hAnsi="宋体" w:eastAsia="宋体" w:cs="宋体"/>
          <w:sz w:val="24"/>
          <w:szCs w:val="24"/>
        </w:rPr>
      </w:pPr>
      <w:r>
        <w:rPr>
          <w:rFonts w:hint="eastAsia" w:ascii="宋体" w:hAnsi="宋体" w:eastAsia="宋体" w:cs="宋体"/>
          <w:i/>
          <w:iCs/>
          <w:sz w:val="24"/>
          <w:szCs w:val="24"/>
        </w:rPr>
        <w:t>E</w:t>
      </w:r>
      <w:r>
        <w:rPr>
          <w:rFonts w:hint="eastAsia" w:ascii="宋体" w:hAnsi="宋体" w:eastAsia="宋体" w:cs="宋体"/>
          <w:i/>
          <w:iCs/>
          <w:sz w:val="24"/>
          <w:szCs w:val="24"/>
          <w:vertAlign w:val="subscript"/>
        </w:rPr>
        <w:t>直接</w:t>
      </w:r>
      <w:r>
        <w:rPr>
          <w:rFonts w:hint="eastAsia" w:ascii="宋体" w:hAnsi="宋体" w:eastAsia="宋体" w:cs="宋体"/>
          <w:i/>
          <w:iCs/>
          <w:sz w:val="24"/>
          <w:szCs w:val="24"/>
        </w:rPr>
        <w:t>=E</w:t>
      </w:r>
      <w:r>
        <w:rPr>
          <w:rFonts w:hint="eastAsia" w:ascii="宋体" w:hAnsi="宋体" w:eastAsia="宋体" w:cs="宋体"/>
          <w:i/>
          <w:iCs/>
          <w:sz w:val="24"/>
          <w:szCs w:val="24"/>
          <w:vertAlign w:val="subscript"/>
        </w:rPr>
        <w:t>固定源燃烧</w:t>
      </w:r>
      <w:r>
        <w:rPr>
          <w:rFonts w:hint="eastAsia" w:ascii="宋体" w:hAnsi="宋体" w:eastAsia="宋体" w:cs="宋体"/>
          <w:i/>
          <w:iCs/>
          <w:sz w:val="24"/>
          <w:szCs w:val="24"/>
        </w:rPr>
        <w:t>+E</w:t>
      </w:r>
      <w:r>
        <w:rPr>
          <w:rFonts w:hint="eastAsia" w:ascii="宋体" w:hAnsi="宋体" w:eastAsia="宋体" w:cs="宋体"/>
          <w:i/>
          <w:iCs/>
          <w:sz w:val="24"/>
          <w:szCs w:val="24"/>
          <w:vertAlign w:val="subscript"/>
        </w:rPr>
        <w:t xml:space="preserve">移动源燃烧          </w:t>
      </w:r>
      <w:r>
        <w:rPr>
          <w:rFonts w:hint="eastAsia" w:ascii="宋体" w:hAnsi="宋体" w:eastAsia="宋体" w:cs="宋体"/>
          <w:sz w:val="24"/>
          <w:szCs w:val="24"/>
        </w:rPr>
        <w:t>（2）</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式中，</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 xml:space="preserve">E </w:t>
      </w:r>
      <w:r>
        <w:rPr>
          <w:rFonts w:hint="eastAsia" w:ascii="宋体" w:hAnsi="宋体" w:eastAsia="宋体" w:cs="宋体"/>
          <w:i/>
          <w:iCs/>
          <w:sz w:val="24"/>
          <w:szCs w:val="24"/>
          <w:vertAlign w:val="subscript"/>
        </w:rPr>
        <w:t>固定源燃烧</w:t>
      </w:r>
      <w:r>
        <w:rPr>
          <w:rFonts w:hint="eastAsia" w:ascii="宋体" w:hAnsi="宋体" w:eastAsia="宋体" w:cs="宋体"/>
          <w:sz w:val="24"/>
          <w:szCs w:val="24"/>
        </w:rPr>
        <w:t xml:space="preserve"> —— 固定源化石燃料燃烧排放量，单位为吨二氧化碳（tCO2）</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 xml:space="preserve">E </w:t>
      </w:r>
      <w:r>
        <w:rPr>
          <w:rFonts w:hint="eastAsia" w:ascii="宋体" w:hAnsi="宋体" w:eastAsia="宋体" w:cs="宋体"/>
          <w:i/>
          <w:iCs/>
          <w:sz w:val="24"/>
          <w:szCs w:val="24"/>
          <w:vertAlign w:val="subscript"/>
        </w:rPr>
        <w:t>移动源燃烧</w:t>
      </w:r>
      <w:r>
        <w:rPr>
          <w:rFonts w:hint="eastAsia" w:ascii="宋体" w:hAnsi="宋体" w:eastAsia="宋体" w:cs="宋体"/>
          <w:sz w:val="24"/>
          <w:szCs w:val="24"/>
        </w:rPr>
        <w:t xml:space="preserve"> —— 移动源化石燃料燃烧排放量，单位为吨二氧化碳（tCO2）</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（1）固定源、移动源化石燃料燃烧的排放</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1860" w:leftChars="200" w:hanging="1440" w:hangingChars="600"/>
        <w:jc w:val="left"/>
        <w:textAlignment w:val="auto"/>
        <w:rPr>
          <w:rFonts w:hint="eastAsia" w:ascii="宋体" w:hAnsi="宋体" w:eastAsia="宋体" w:cs="宋体"/>
          <w:sz w:val="24"/>
          <w:szCs w:val="24"/>
        </w:rPr>
      </w:pPr>
      <w:r>
        <w:rPr>
          <w:rFonts w:hint="eastAsia" w:ascii="宋体" w:hAnsi="宋体" w:eastAsia="宋体" w:cs="宋体"/>
          <w:sz w:val="24"/>
          <w:szCs w:val="24"/>
        </w:rPr>
        <w:t>组织直接排放涉及的化石燃料燃烧的排放依据《核算指南》中的如下核算方法：</w:t>
      </w:r>
      <w:r>
        <w:rPr>
          <w:rFonts w:hint="eastAsia" w:ascii="宋体" w:hAnsi="宋体" w:eastAsia="宋体" w:cs="宋体"/>
          <w:sz w:val="24"/>
          <w:szCs w:val="24"/>
        </w:rPr>
        <w:drawing>
          <wp:inline distT="0" distB="0" distL="0" distR="0">
            <wp:extent cx="2489835" cy="664210"/>
            <wp:effectExtent l="0" t="0" r="5715" b="2540"/>
            <wp:docPr id="2406232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23211" name="图片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517389" cy="672051"/>
                    </a:xfrm>
                    <a:prstGeom prst="rect">
                      <a:avLst/>
                    </a:prstGeom>
                    <a:noFill/>
                    <a:ln>
                      <a:noFill/>
                    </a:ln>
                  </pic:spPr>
                </pic:pic>
              </a:graphicData>
            </a:graphic>
          </wp:inline>
        </w:drawing>
      </w:r>
      <w:r>
        <w:rPr>
          <w:rFonts w:hint="eastAsia" w:ascii="宋体" w:hAnsi="宋体" w:eastAsia="宋体" w:cs="宋体"/>
          <w:sz w:val="24"/>
          <w:szCs w:val="24"/>
        </w:rPr>
        <w:t>(3)</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1860" w:leftChars="200" w:hanging="1440" w:hangingChars="600"/>
        <w:jc w:val="left"/>
        <w:textAlignment w:val="auto"/>
        <w:rPr>
          <w:rFonts w:hint="eastAsia" w:ascii="宋体" w:hAnsi="宋体" w:eastAsia="宋体" w:cs="宋体"/>
          <w:sz w:val="24"/>
          <w:szCs w:val="24"/>
        </w:rPr>
      </w:pPr>
      <w:r>
        <w:rPr>
          <w:rFonts w:hint="eastAsia" w:ascii="宋体" w:hAnsi="宋体" w:eastAsia="宋体" w:cs="宋体"/>
          <w:sz w:val="24"/>
          <w:szCs w:val="24"/>
        </w:rPr>
        <w:t>式中，</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1860" w:leftChars="200" w:hanging="1440" w:hangingChars="600"/>
        <w:jc w:val="left"/>
        <w:textAlignment w:val="auto"/>
        <w:rPr>
          <w:rFonts w:hint="eastAsia" w:ascii="宋体" w:hAnsi="宋体" w:eastAsia="宋体" w:cs="宋体"/>
          <w:sz w:val="24"/>
          <w:szCs w:val="24"/>
        </w:rPr>
      </w:pPr>
      <w:r>
        <w:rPr>
          <w:rFonts w:hint="eastAsia" w:ascii="宋体" w:hAnsi="宋体" w:eastAsia="宋体" w:cs="宋体"/>
          <w:i/>
          <w:iCs/>
          <w:sz w:val="24"/>
          <w:szCs w:val="24"/>
        </w:rPr>
        <w:t xml:space="preserve">E </w:t>
      </w:r>
      <w:r>
        <w:rPr>
          <w:rFonts w:hint="eastAsia" w:ascii="宋体" w:hAnsi="宋体" w:eastAsia="宋体" w:cs="宋体"/>
          <w:i/>
          <w:iCs/>
          <w:sz w:val="24"/>
          <w:szCs w:val="24"/>
          <w:vertAlign w:val="subscript"/>
        </w:rPr>
        <w:t>燃烧</w:t>
      </w:r>
      <w:r>
        <w:rPr>
          <w:rFonts w:hint="eastAsia" w:ascii="宋体" w:hAnsi="宋体" w:eastAsia="宋体" w:cs="宋体"/>
          <w:sz w:val="24"/>
          <w:szCs w:val="24"/>
        </w:rPr>
        <w:t xml:space="preserve"> —— 化石燃料燃烧排放量，单位为吨二氧化碳（tCO2）；</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1860" w:leftChars="200" w:hanging="1440" w:hangingChars="600"/>
        <w:jc w:val="left"/>
        <w:textAlignment w:val="auto"/>
        <w:rPr>
          <w:rFonts w:hint="eastAsia" w:ascii="宋体" w:hAnsi="宋体" w:eastAsia="宋体" w:cs="宋体"/>
          <w:sz w:val="24"/>
          <w:szCs w:val="24"/>
        </w:rPr>
      </w:pPr>
      <w:r>
        <w:rPr>
          <w:rFonts w:hint="eastAsia" w:ascii="宋体" w:hAnsi="宋体" w:eastAsia="宋体" w:cs="宋体"/>
          <w:i/>
          <w:iCs/>
          <w:sz w:val="24"/>
          <w:szCs w:val="24"/>
        </w:rPr>
        <w:t>i</w:t>
      </w:r>
      <w:r>
        <w:rPr>
          <w:rFonts w:hint="eastAsia" w:ascii="宋体" w:hAnsi="宋体" w:eastAsia="宋体" w:cs="宋体"/>
          <w:sz w:val="24"/>
          <w:szCs w:val="24"/>
        </w:rPr>
        <w:t xml:space="preserve"> —— 化石燃料的种类；</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1860" w:leftChars="200" w:hanging="1440" w:hangingChars="600"/>
        <w:jc w:val="left"/>
        <w:textAlignment w:val="auto"/>
        <w:rPr>
          <w:rFonts w:hint="eastAsia" w:ascii="宋体" w:hAnsi="宋体" w:eastAsia="宋体" w:cs="宋体"/>
          <w:sz w:val="24"/>
          <w:szCs w:val="24"/>
        </w:rPr>
      </w:pPr>
      <w:r>
        <w:rPr>
          <w:rFonts w:hint="eastAsia" w:ascii="宋体" w:hAnsi="宋体" w:eastAsia="宋体" w:cs="宋体"/>
          <w:i/>
          <w:iCs/>
          <w:sz w:val="24"/>
          <w:szCs w:val="24"/>
        </w:rPr>
        <w:t>AD</w:t>
      </w:r>
      <w:r>
        <w:rPr>
          <w:rFonts w:hint="eastAsia" w:ascii="宋体" w:hAnsi="宋体" w:eastAsia="宋体" w:cs="宋体"/>
          <w:i/>
          <w:iCs/>
          <w:sz w:val="24"/>
          <w:szCs w:val="24"/>
          <w:vertAlign w:val="subscript"/>
        </w:rPr>
        <w:t>i</w:t>
      </w:r>
      <w:r>
        <w:rPr>
          <w:rFonts w:hint="eastAsia" w:ascii="宋体" w:hAnsi="宋体" w:eastAsia="宋体" w:cs="宋体"/>
          <w:i/>
          <w:iCs/>
          <w:sz w:val="24"/>
          <w:szCs w:val="24"/>
        </w:rPr>
        <w:t xml:space="preserve"> </w:t>
      </w:r>
      <w:r>
        <w:rPr>
          <w:rFonts w:hint="eastAsia" w:ascii="宋体" w:hAnsi="宋体" w:eastAsia="宋体" w:cs="宋体"/>
          <w:sz w:val="24"/>
          <w:szCs w:val="24"/>
        </w:rPr>
        <w:t>—— 第 i 种化石燃料的活动数据，单位为吉焦（GJ）；</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1860" w:leftChars="200" w:hanging="1440" w:hangingChars="600"/>
        <w:jc w:val="left"/>
        <w:textAlignment w:val="auto"/>
        <w:rPr>
          <w:rFonts w:hint="eastAsia" w:ascii="宋体" w:hAnsi="宋体" w:eastAsia="宋体" w:cs="宋体"/>
          <w:sz w:val="24"/>
          <w:szCs w:val="24"/>
        </w:rPr>
      </w:pPr>
      <w:r>
        <w:rPr>
          <w:rFonts w:hint="eastAsia" w:ascii="宋体" w:hAnsi="宋体" w:eastAsia="宋体" w:cs="宋体"/>
          <w:i/>
          <w:iCs/>
          <w:sz w:val="24"/>
          <w:szCs w:val="24"/>
        </w:rPr>
        <w:t>EF</w:t>
      </w:r>
      <w:r>
        <w:rPr>
          <w:rFonts w:hint="eastAsia" w:ascii="宋体" w:hAnsi="宋体" w:eastAsia="宋体" w:cs="宋体"/>
          <w:sz w:val="24"/>
          <w:szCs w:val="24"/>
          <w:vertAlign w:val="subscript"/>
        </w:rPr>
        <w:t>i</w:t>
      </w:r>
      <w:r>
        <w:rPr>
          <w:rFonts w:hint="eastAsia" w:ascii="宋体" w:hAnsi="宋体" w:eastAsia="宋体" w:cs="宋体"/>
          <w:sz w:val="24"/>
          <w:szCs w:val="24"/>
        </w:rPr>
        <w:t xml:space="preserve"> ——第 i 种化石燃料的二氧化碳排放因子，单位为吨二氧化碳/吉焦（tCO2/GJ）；</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1860" w:leftChars="200" w:hanging="1440" w:hangingChars="600"/>
        <w:jc w:val="left"/>
        <w:textAlignment w:val="auto"/>
        <w:rPr>
          <w:rFonts w:hint="eastAsia" w:ascii="宋体" w:hAnsi="宋体" w:eastAsia="宋体" w:cs="宋体"/>
          <w:sz w:val="24"/>
          <w:szCs w:val="24"/>
        </w:rPr>
      </w:pPr>
      <w:r>
        <w:rPr>
          <w:rFonts w:hint="eastAsia" w:ascii="宋体" w:hAnsi="宋体" w:eastAsia="宋体" w:cs="宋体"/>
          <w:sz w:val="24"/>
          <w:szCs w:val="24"/>
        </w:rPr>
        <w:t>其中，第 i 种化石燃料的活动水平 ADi按公式（4）计算</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1680" w:leftChars="800"/>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179955" cy="435610"/>
            <wp:effectExtent l="0" t="0" r="0" b="2540"/>
            <wp:docPr id="143843557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35579" name="图片 25"/>
                    <pic:cNvPicPr>
                      <a:picLocks noChangeAspect="1" noChangeArrowheads="1"/>
                    </pic:cNvPicPr>
                  </pic:nvPicPr>
                  <pic:blipFill>
                    <a:blip r:embed="rId24">
                      <a:extLst>
                        <a:ext uri="{28A0092B-C50C-407E-A947-70E740481C1C}">
                          <a14:useLocalDpi xmlns:a14="http://schemas.microsoft.com/office/drawing/2010/main" val="0"/>
                        </a:ext>
                      </a:extLst>
                    </a:blip>
                    <a:srcRect r="25206" b="5792"/>
                    <a:stretch>
                      <a:fillRect/>
                    </a:stretch>
                  </pic:blipFill>
                  <pic:spPr>
                    <a:xfrm>
                      <a:off x="0" y="0"/>
                      <a:ext cx="2216168" cy="443233"/>
                    </a:xfrm>
                    <a:prstGeom prst="rect">
                      <a:avLst/>
                    </a:prstGeom>
                    <a:noFill/>
                    <a:ln>
                      <a:noFill/>
                    </a:ln>
                  </pic:spPr>
                </pic:pic>
              </a:graphicData>
            </a:graphic>
          </wp:inline>
        </w:drawing>
      </w:r>
      <w:r>
        <w:rPr>
          <w:rFonts w:hint="eastAsia" w:ascii="宋体" w:hAnsi="宋体" w:eastAsia="宋体" w:cs="宋体"/>
          <w:sz w:val="24"/>
          <w:szCs w:val="24"/>
        </w:rPr>
        <w:t xml:space="preserve">     (4)</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1680" w:leftChars="800"/>
        <w:jc w:val="left"/>
        <w:textAlignment w:val="auto"/>
        <w:rPr>
          <w:rFonts w:hint="eastAsia" w:ascii="宋体" w:hAnsi="宋体" w:eastAsia="宋体" w:cs="宋体"/>
          <w:sz w:val="24"/>
          <w:szCs w:val="24"/>
        </w:rPr>
      </w:pPr>
      <w:r>
        <w:rPr>
          <w:rFonts w:hint="eastAsia" w:ascii="宋体" w:hAnsi="宋体" w:eastAsia="宋体" w:cs="宋体"/>
          <w:sz w:val="24"/>
          <w:szCs w:val="24"/>
        </w:rPr>
        <w:t>式中，</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AD</w:t>
      </w:r>
      <w:r>
        <w:rPr>
          <w:rFonts w:hint="eastAsia" w:ascii="宋体" w:hAnsi="宋体" w:eastAsia="宋体" w:cs="宋体"/>
          <w:i/>
          <w:iCs/>
          <w:sz w:val="24"/>
          <w:szCs w:val="24"/>
          <w:vertAlign w:val="subscript"/>
        </w:rPr>
        <w:t>i</w:t>
      </w:r>
      <w:r>
        <w:rPr>
          <w:rFonts w:hint="eastAsia" w:ascii="宋体" w:hAnsi="宋体" w:eastAsia="宋体" w:cs="宋体"/>
          <w:i/>
          <w:iCs/>
          <w:sz w:val="24"/>
          <w:szCs w:val="24"/>
        </w:rPr>
        <w:t xml:space="preserve"> </w:t>
      </w:r>
      <w:r>
        <w:rPr>
          <w:rFonts w:hint="eastAsia" w:ascii="宋体" w:hAnsi="宋体" w:eastAsia="宋体" w:cs="宋体"/>
          <w:sz w:val="24"/>
          <w:szCs w:val="24"/>
        </w:rPr>
        <w:t>—— 第 i 种化石燃料的活动数据，单位为吉焦（GJ）；</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NCV</w:t>
      </w:r>
      <w:r>
        <w:rPr>
          <w:rFonts w:hint="eastAsia" w:ascii="宋体" w:hAnsi="宋体" w:eastAsia="宋体" w:cs="宋体"/>
          <w:i/>
          <w:iCs/>
          <w:sz w:val="24"/>
          <w:szCs w:val="24"/>
          <w:vertAlign w:val="subscript"/>
        </w:rPr>
        <w:t>i</w:t>
      </w:r>
      <w:r>
        <w:rPr>
          <w:rFonts w:hint="eastAsia" w:ascii="宋体" w:hAnsi="宋体" w:eastAsia="宋体" w:cs="宋体"/>
          <w:i/>
          <w:iCs/>
          <w:sz w:val="24"/>
          <w:szCs w:val="24"/>
        </w:rPr>
        <w:t xml:space="preserve"> </w:t>
      </w:r>
      <w:r>
        <w:rPr>
          <w:rFonts w:hint="eastAsia" w:ascii="宋体" w:hAnsi="宋体" w:eastAsia="宋体" w:cs="宋体"/>
          <w:sz w:val="24"/>
          <w:szCs w:val="24"/>
        </w:rPr>
        <w:t>—— 第 i 种化石燃料的低位发热量，对固体或液体燃料，单位为吉焦/吨（GJ/t）；</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对气体燃料，单位为吉焦/万标准立方米（GJ/万 Nm3）；</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18FC</w:t>
      </w:r>
      <w:r>
        <w:rPr>
          <w:rFonts w:hint="eastAsia" w:ascii="宋体" w:hAnsi="宋体" w:eastAsia="宋体" w:cs="宋体"/>
          <w:i/>
          <w:iCs/>
          <w:sz w:val="24"/>
          <w:szCs w:val="24"/>
          <w:vertAlign w:val="subscript"/>
        </w:rPr>
        <w:t>i</w:t>
      </w:r>
      <w:r>
        <w:rPr>
          <w:rFonts w:hint="eastAsia" w:ascii="宋体" w:hAnsi="宋体" w:eastAsia="宋体" w:cs="宋体"/>
          <w:i/>
          <w:iCs/>
          <w:sz w:val="24"/>
          <w:szCs w:val="24"/>
        </w:rPr>
        <w:t xml:space="preserve"> </w:t>
      </w:r>
      <w:r>
        <w:rPr>
          <w:rFonts w:hint="eastAsia" w:ascii="宋体" w:hAnsi="宋体" w:eastAsia="宋体" w:cs="宋体"/>
          <w:sz w:val="24"/>
          <w:szCs w:val="24"/>
        </w:rPr>
        <w:t>—— 第 i 种化石燃料的消耗量，对固体或液体燃料，单位为吨（t）；对气体燃</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料，单位为万标准立方米（万 Nm3）。</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其中，化石燃料的二氧化碳排放因子按公式（5）计算：</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1920" w:firstLineChars="800"/>
        <w:jc w:val="lef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257425" cy="614045"/>
            <wp:effectExtent l="0" t="0" r="0" b="0"/>
            <wp:docPr id="101442624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26241" name="图片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91374" cy="623298"/>
                    </a:xfrm>
                    <a:prstGeom prst="rect">
                      <a:avLst/>
                    </a:prstGeom>
                    <a:noFill/>
                    <a:ln>
                      <a:noFill/>
                    </a:ln>
                  </pic:spPr>
                </pic:pic>
              </a:graphicData>
            </a:graphic>
          </wp:inline>
        </w:drawing>
      </w:r>
      <w:r>
        <w:rPr>
          <w:rFonts w:hint="eastAsia" w:ascii="宋体" w:hAnsi="宋体" w:eastAsia="宋体" w:cs="宋体"/>
          <w:sz w:val="24"/>
          <w:szCs w:val="24"/>
        </w:rPr>
        <w:t xml:space="preserve">     (5)</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式中，</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EF</w:t>
      </w:r>
      <w:r>
        <w:rPr>
          <w:rFonts w:hint="eastAsia" w:ascii="宋体" w:hAnsi="宋体" w:eastAsia="宋体" w:cs="宋体"/>
          <w:i/>
          <w:iCs/>
          <w:sz w:val="24"/>
          <w:szCs w:val="24"/>
          <w:vertAlign w:val="subscript"/>
        </w:rPr>
        <w:t>i</w:t>
      </w:r>
      <w:r>
        <w:rPr>
          <w:rFonts w:hint="eastAsia" w:ascii="宋体" w:hAnsi="宋体" w:eastAsia="宋体" w:cs="宋体"/>
          <w:sz w:val="24"/>
          <w:szCs w:val="24"/>
          <w:vertAlign w:val="subscript"/>
        </w:rPr>
        <w:t xml:space="preserve"> </w:t>
      </w:r>
      <w:r>
        <w:rPr>
          <w:rFonts w:hint="eastAsia" w:ascii="宋体" w:hAnsi="宋体" w:eastAsia="宋体" w:cs="宋体"/>
          <w:sz w:val="24"/>
          <w:szCs w:val="24"/>
        </w:rPr>
        <w:t>—— 第 i 种化石燃料的二氧化碳排放因子，单位为吨二氧化碳/吉焦（tCO2/GJ）；</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CC</w:t>
      </w:r>
      <w:r>
        <w:rPr>
          <w:rFonts w:hint="eastAsia" w:ascii="宋体" w:hAnsi="宋体" w:eastAsia="宋体" w:cs="宋体"/>
          <w:i/>
          <w:iCs/>
          <w:sz w:val="24"/>
          <w:szCs w:val="24"/>
          <w:vertAlign w:val="subscript"/>
        </w:rPr>
        <w:t xml:space="preserve">i </w:t>
      </w:r>
      <w:r>
        <w:rPr>
          <w:rFonts w:hint="eastAsia" w:ascii="宋体" w:hAnsi="宋体" w:eastAsia="宋体" w:cs="宋体"/>
          <w:sz w:val="24"/>
          <w:szCs w:val="24"/>
        </w:rPr>
        <w:t>—— 第 i 种化石燃料的单位热值含碳量，单位为吨碳/吉焦（tC/GJ）；</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i/>
          <w:iCs/>
          <w:sz w:val="24"/>
          <w:szCs w:val="24"/>
        </w:rPr>
        <w:t>OF</w:t>
      </w:r>
      <w:r>
        <w:rPr>
          <w:rFonts w:hint="eastAsia" w:ascii="宋体" w:hAnsi="宋体" w:eastAsia="宋体" w:cs="宋体"/>
          <w:i/>
          <w:iCs/>
          <w:sz w:val="24"/>
          <w:szCs w:val="24"/>
          <w:vertAlign w:val="subscript"/>
        </w:rPr>
        <w:t xml:space="preserve">i </w:t>
      </w:r>
      <w:r>
        <w:rPr>
          <w:rFonts w:hint="eastAsia" w:ascii="宋体" w:hAnsi="宋体" w:eastAsia="宋体" w:cs="宋体"/>
          <w:sz w:val="24"/>
          <w:szCs w:val="24"/>
        </w:rPr>
        <w:t>—— 第 i 种化石燃料的碳氧化率，单位为%；</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二氧化碳与碳的分子量之比为 44/12。</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（2）工业过程直接排放</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二氧化碳气体保护焊产生的 CO2量按如下公式计算：</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1680" w:firstLineChars="700"/>
        <w:jc w:val="left"/>
        <w:textAlignment w:val="auto"/>
        <w:rPr>
          <w:rFonts w:hint="eastAsia" w:ascii="宋体" w:hAnsi="宋体" w:eastAsia="宋体" w:cs="宋体"/>
          <w:sz w:val="24"/>
          <w:szCs w:val="24"/>
        </w:rPr>
      </w:pPr>
      <w:r>
        <w:rPr>
          <w:rFonts w:hint="eastAsia" w:ascii="宋体" w:hAnsi="宋体" w:eastAsia="宋体" w:cs="宋体"/>
          <w:sz w:val="24"/>
          <w:szCs w:val="24"/>
        </w:rPr>
        <w:t>RCO</w:t>
      </w:r>
      <w:r>
        <w:rPr>
          <w:rFonts w:hint="eastAsia" w:ascii="宋体" w:hAnsi="宋体" w:eastAsia="宋体" w:cs="宋体"/>
          <w:sz w:val="24"/>
          <w:szCs w:val="24"/>
          <w:vertAlign w:val="subscript"/>
        </w:rPr>
        <w:t>2</w:t>
      </w:r>
      <w:r>
        <w:rPr>
          <w:rFonts w:hint="eastAsia" w:ascii="宋体" w:hAnsi="宋体" w:eastAsia="宋体" w:cs="宋体"/>
          <w:sz w:val="24"/>
          <w:szCs w:val="24"/>
        </w:rPr>
        <w:t>=W×P                              (12)</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式中： RCO2 —— 报告主体的 CO2消耗量，单位为吨；</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 保护气净使用量，单位为 t；</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P—— 保护气中 CO2的纯度，单位为%;</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.2 间接温室气体排放</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企业组织层面内的温室气体间接排放总量按下式计算：</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400" w:firstLineChars="1000"/>
        <w:jc w:val="left"/>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vertAlign w:val="subscript"/>
        </w:rPr>
        <w:t>间接</w:t>
      </w:r>
      <w:r>
        <w:rPr>
          <w:rFonts w:hint="eastAsia" w:ascii="宋体" w:hAnsi="宋体" w:eastAsia="宋体" w:cs="宋体"/>
          <w:sz w:val="24"/>
          <w:szCs w:val="24"/>
        </w:rPr>
        <w:t xml:space="preserve"> = E</w:t>
      </w:r>
      <w:r>
        <w:rPr>
          <w:rFonts w:hint="eastAsia" w:ascii="宋体" w:hAnsi="宋体" w:eastAsia="宋体" w:cs="宋体"/>
          <w:sz w:val="24"/>
          <w:szCs w:val="24"/>
          <w:vertAlign w:val="subscript"/>
        </w:rPr>
        <w:t>电力</w:t>
      </w:r>
      <w:r>
        <w:rPr>
          <w:rFonts w:hint="eastAsia" w:ascii="宋体" w:hAnsi="宋体" w:eastAsia="宋体" w:cs="宋体"/>
          <w:sz w:val="24"/>
          <w:szCs w:val="24"/>
        </w:rPr>
        <w:t>+ E</w:t>
      </w:r>
      <w:r>
        <w:rPr>
          <w:rFonts w:hint="eastAsia" w:ascii="宋体" w:hAnsi="宋体" w:eastAsia="宋体" w:cs="宋体"/>
          <w:sz w:val="24"/>
          <w:szCs w:val="24"/>
          <w:vertAlign w:val="subscript"/>
        </w:rPr>
        <w:t xml:space="preserve">热力 </w:t>
      </w:r>
      <w:r>
        <w:rPr>
          <w:rFonts w:hint="eastAsia" w:ascii="宋体" w:hAnsi="宋体" w:eastAsia="宋体" w:cs="宋体"/>
          <w:i/>
          <w:iCs/>
          <w:sz w:val="24"/>
          <w:szCs w:val="24"/>
          <w:vertAlign w:val="subscript"/>
        </w:rPr>
        <w:t xml:space="preserve">                                     </w:t>
      </w:r>
      <w:r>
        <w:rPr>
          <w:rFonts w:hint="eastAsia" w:ascii="宋体" w:hAnsi="宋体" w:eastAsia="宋体" w:cs="宋体"/>
          <w:sz w:val="24"/>
          <w:szCs w:val="24"/>
        </w:rPr>
        <w:t>(6)</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式中，</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vertAlign w:val="subscript"/>
        </w:rPr>
        <w:t>电力</w:t>
      </w:r>
      <w:r>
        <w:rPr>
          <w:rFonts w:hint="eastAsia" w:ascii="宋体" w:hAnsi="宋体" w:eastAsia="宋体" w:cs="宋体"/>
          <w:sz w:val="24"/>
          <w:szCs w:val="24"/>
        </w:rPr>
        <w:t xml:space="preserve"> —— 为企业净购入的电力隐含的 CO2 排放，单位为吨 CO2；</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vertAlign w:val="subscript"/>
        </w:rPr>
        <w:t>热力</w:t>
      </w:r>
      <w:r>
        <w:rPr>
          <w:rFonts w:hint="eastAsia" w:ascii="宋体" w:hAnsi="宋体" w:eastAsia="宋体" w:cs="宋体"/>
          <w:sz w:val="24"/>
          <w:szCs w:val="24"/>
        </w:rPr>
        <w:t xml:space="preserve"> —— 为企业净购入的热力隐含的 CO2 排放，单位为吨 CO2；</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企业外购的电力、热力隐含的 CO2 间接排放分别按公式（7）和（8）计算：</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vertAlign w:val="subscript"/>
        </w:rPr>
        <w:t>电力</w:t>
      </w:r>
      <w:r>
        <w:rPr>
          <w:rFonts w:hint="eastAsia" w:ascii="宋体" w:hAnsi="宋体" w:eastAsia="宋体" w:cs="宋体"/>
          <w:sz w:val="24"/>
          <w:szCs w:val="24"/>
        </w:rPr>
        <w:t>=AD</w:t>
      </w:r>
      <w:r>
        <w:rPr>
          <w:rFonts w:hint="eastAsia" w:ascii="宋体" w:hAnsi="宋体" w:eastAsia="宋体" w:cs="宋体"/>
          <w:sz w:val="24"/>
          <w:szCs w:val="24"/>
          <w:vertAlign w:val="subscript"/>
        </w:rPr>
        <w:t>电力</w:t>
      </w:r>
      <w:r>
        <w:rPr>
          <w:rFonts w:hint="eastAsia" w:ascii="宋体" w:hAnsi="宋体" w:eastAsia="宋体" w:cs="宋体"/>
          <w:sz w:val="24"/>
          <w:szCs w:val="24"/>
        </w:rPr>
        <w:t>×EF</w:t>
      </w:r>
      <w:r>
        <w:rPr>
          <w:rFonts w:hint="eastAsia" w:ascii="宋体" w:hAnsi="宋体" w:eastAsia="宋体" w:cs="宋体"/>
          <w:sz w:val="24"/>
          <w:szCs w:val="24"/>
          <w:vertAlign w:val="subscript"/>
        </w:rPr>
        <w:t>电力</w:t>
      </w:r>
      <w:r>
        <w:rPr>
          <w:rFonts w:hint="eastAsia" w:ascii="宋体" w:hAnsi="宋体" w:eastAsia="宋体" w:cs="宋体"/>
          <w:sz w:val="24"/>
          <w:szCs w:val="24"/>
        </w:rPr>
        <w:t xml:space="preserve"> （7）</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vertAlign w:val="subscript"/>
        </w:rPr>
        <w:t>热力</w:t>
      </w:r>
      <w:r>
        <w:rPr>
          <w:rFonts w:hint="eastAsia" w:ascii="宋体" w:hAnsi="宋体" w:eastAsia="宋体" w:cs="宋体"/>
          <w:sz w:val="24"/>
          <w:szCs w:val="24"/>
        </w:rPr>
        <w:t>=AD</w:t>
      </w:r>
      <w:r>
        <w:rPr>
          <w:rFonts w:hint="eastAsia" w:ascii="宋体" w:hAnsi="宋体" w:eastAsia="宋体" w:cs="宋体"/>
          <w:sz w:val="24"/>
          <w:szCs w:val="24"/>
          <w:vertAlign w:val="subscript"/>
        </w:rPr>
        <w:t>热力</w:t>
      </w:r>
      <w:r>
        <w:rPr>
          <w:rFonts w:hint="eastAsia" w:ascii="宋体" w:hAnsi="宋体" w:eastAsia="宋体" w:cs="宋体"/>
          <w:sz w:val="24"/>
          <w:szCs w:val="24"/>
        </w:rPr>
        <w:t>×EF</w:t>
      </w:r>
      <w:r>
        <w:rPr>
          <w:rFonts w:hint="eastAsia" w:ascii="宋体" w:hAnsi="宋体" w:eastAsia="宋体" w:cs="宋体"/>
          <w:sz w:val="24"/>
          <w:szCs w:val="24"/>
          <w:vertAlign w:val="subscript"/>
        </w:rPr>
        <w:t xml:space="preserve">热力 </w:t>
      </w:r>
      <w:r>
        <w:rPr>
          <w:rFonts w:hint="eastAsia" w:ascii="宋体" w:hAnsi="宋体" w:eastAsia="宋体" w:cs="宋体"/>
          <w:sz w:val="24"/>
          <w:szCs w:val="24"/>
        </w:rPr>
        <w:t>（8）</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式中，</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AD</w:t>
      </w:r>
      <w:r>
        <w:rPr>
          <w:rFonts w:hint="eastAsia" w:ascii="宋体" w:hAnsi="宋体" w:eastAsia="宋体" w:cs="宋体"/>
          <w:sz w:val="24"/>
          <w:szCs w:val="24"/>
          <w:vertAlign w:val="subscript"/>
        </w:rPr>
        <w:t>电力</w:t>
      </w:r>
      <w:r>
        <w:rPr>
          <w:rFonts w:hint="eastAsia" w:ascii="宋体" w:hAnsi="宋体" w:eastAsia="宋体" w:cs="宋体"/>
          <w:sz w:val="24"/>
          <w:szCs w:val="24"/>
        </w:rPr>
        <w:t xml:space="preserve"> —— 为企业净购入的电力消费量，单位为 MWh；</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AD</w:t>
      </w:r>
      <w:r>
        <w:rPr>
          <w:rFonts w:hint="eastAsia" w:ascii="宋体" w:hAnsi="宋体" w:eastAsia="宋体" w:cs="宋体"/>
          <w:sz w:val="24"/>
          <w:szCs w:val="24"/>
          <w:vertAlign w:val="subscript"/>
        </w:rPr>
        <w:t>热力</w:t>
      </w:r>
      <w:r>
        <w:rPr>
          <w:rFonts w:hint="eastAsia" w:ascii="宋体" w:hAnsi="宋体" w:eastAsia="宋体" w:cs="宋体"/>
          <w:sz w:val="24"/>
          <w:szCs w:val="24"/>
        </w:rPr>
        <w:t xml:space="preserve"> —— 为企业净购入的热力消费量，单位GJ;</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EF</w:t>
      </w:r>
      <w:r>
        <w:rPr>
          <w:rFonts w:hint="eastAsia" w:ascii="宋体" w:hAnsi="宋体" w:eastAsia="宋体" w:cs="宋体"/>
          <w:sz w:val="24"/>
          <w:szCs w:val="24"/>
          <w:vertAlign w:val="subscript"/>
        </w:rPr>
        <w:t>电力</w:t>
      </w:r>
      <w:r>
        <w:rPr>
          <w:rFonts w:hint="eastAsia" w:ascii="宋体" w:hAnsi="宋体" w:eastAsia="宋体" w:cs="宋体"/>
          <w:sz w:val="24"/>
          <w:szCs w:val="24"/>
        </w:rPr>
        <w:t xml:space="preserve"> —— 为电力供应的 CO2 排放因子，单位为吨 CO2/MWh；</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EF</w:t>
      </w:r>
      <w:r>
        <w:rPr>
          <w:rFonts w:hint="eastAsia" w:ascii="宋体" w:hAnsi="宋体" w:eastAsia="宋体" w:cs="宋体"/>
          <w:sz w:val="24"/>
          <w:szCs w:val="24"/>
          <w:vertAlign w:val="subscript"/>
        </w:rPr>
        <w:t>热力</w:t>
      </w:r>
      <w:r>
        <w:rPr>
          <w:rFonts w:hint="eastAsia" w:ascii="宋体" w:hAnsi="宋体" w:eastAsia="宋体" w:cs="宋体"/>
          <w:sz w:val="24"/>
          <w:szCs w:val="24"/>
        </w:rPr>
        <w:t xml:space="preserve"> —— 为热力供应的 CO</w:t>
      </w:r>
      <w:r>
        <w:rPr>
          <w:rFonts w:hint="eastAsia" w:ascii="宋体" w:hAnsi="宋体" w:eastAsia="宋体" w:cs="宋体"/>
          <w:sz w:val="24"/>
          <w:szCs w:val="24"/>
          <w:vertAlign w:val="subscript"/>
        </w:rPr>
        <w:t>2</w:t>
      </w:r>
      <w:r>
        <w:rPr>
          <w:rFonts w:hint="eastAsia" w:ascii="宋体" w:hAnsi="宋体" w:eastAsia="宋体" w:cs="宋体"/>
          <w:sz w:val="24"/>
          <w:szCs w:val="24"/>
        </w:rPr>
        <w:t xml:space="preserve"> 排放因子，单位为吨 CO2/GJ。</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19" w:name="_Toc1040"/>
      <w:r>
        <w:rPr>
          <w:rFonts w:hint="eastAsia" w:ascii="宋体" w:hAnsi="宋体" w:eastAsia="宋体" w:cs="宋体"/>
          <w:b/>
          <w:bCs/>
          <w:sz w:val="24"/>
          <w:szCs w:val="24"/>
        </w:rPr>
        <w:t>3.</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核算数据的核查</w:t>
      </w:r>
      <w:bookmarkEnd w:id="19"/>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 活动数据及来源的核查</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根据章节 3.2 中对于受核查方核算边界及排放源和气体种类的核查，核查组查阅了相关统计报表、财务凭证、原始抄表记录等，对受核查方相关活动数据及来源进行核查，核查结果说明如下：</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 直接排放涉及的活动数据</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直接排放主要包括热处理炉、退火炉等用</w:t>
      </w:r>
      <w:r>
        <w:rPr>
          <w:rFonts w:hint="eastAsia" w:ascii="宋体" w:hAnsi="宋体" w:eastAsia="宋体" w:cs="宋体"/>
          <w:sz w:val="24"/>
          <w:szCs w:val="24"/>
          <w:lang w:eastAsia="zh-CN"/>
        </w:rPr>
        <w:t>液化石油气</w:t>
      </w:r>
      <w:r>
        <w:rPr>
          <w:rFonts w:hint="eastAsia" w:ascii="宋体" w:hAnsi="宋体" w:eastAsia="宋体" w:cs="宋体"/>
          <w:sz w:val="24"/>
          <w:szCs w:val="24"/>
        </w:rPr>
        <w:t>燃烧直接排放。</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.1 直接排放量</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891" w:firstLineChars="1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表 3-26 202</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年度</w:t>
      </w:r>
    </w:p>
    <w:tbl>
      <w:tblPr>
        <w:tblStyle w:val="8"/>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699"/>
        <w:gridCol w:w="1096"/>
        <w:gridCol w:w="1604"/>
        <w:gridCol w:w="1207"/>
        <w:gridCol w:w="699"/>
        <w:gridCol w:w="204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676" w:type="dxa"/>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化石燃料燃烧直接排放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设施/活动</w:t>
            </w:r>
          </w:p>
        </w:tc>
        <w:tc>
          <w:tcPr>
            <w:tcW w:w="69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燃料品种</w:t>
            </w:r>
          </w:p>
        </w:tc>
        <w:tc>
          <w:tcPr>
            <w:tcW w:w="9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消耗量</w:t>
            </w:r>
          </w:p>
        </w:tc>
        <w:tc>
          <w:tcPr>
            <w:tcW w:w="16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低位发热量</w:t>
            </w:r>
          </w:p>
        </w:tc>
        <w:tc>
          <w:tcPr>
            <w:tcW w:w="120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单位热值含碳量</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碳氧化率</w:t>
            </w:r>
          </w:p>
        </w:tc>
        <w:tc>
          <w:tcPr>
            <w:tcW w:w="20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CO2与碳的分子量比排放量</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69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9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吨</w:t>
            </w:r>
          </w:p>
        </w:tc>
        <w:tc>
          <w:tcPr>
            <w:tcW w:w="16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GJ/万N立方米  GJ/t</w:t>
            </w:r>
          </w:p>
        </w:tc>
        <w:tc>
          <w:tcPr>
            <w:tcW w:w="120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tC/GJ</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0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固定源燃烧</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液化石油气</w:t>
            </w:r>
          </w:p>
        </w:tc>
        <w:tc>
          <w:tcPr>
            <w:tcW w:w="9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458.743</w:t>
            </w:r>
          </w:p>
        </w:tc>
        <w:tc>
          <w:tcPr>
            <w:tcW w:w="16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389.31</w:t>
            </w:r>
          </w:p>
        </w:tc>
        <w:tc>
          <w:tcPr>
            <w:tcW w:w="120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0.0153</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20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Dec-44</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移动源燃烧</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柴油</w:t>
            </w:r>
          </w:p>
        </w:tc>
        <w:tc>
          <w:tcPr>
            <w:tcW w:w="9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2786.182</w:t>
            </w:r>
          </w:p>
        </w:tc>
        <w:tc>
          <w:tcPr>
            <w:tcW w:w="16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42.652</w:t>
            </w:r>
          </w:p>
        </w:tc>
        <w:tc>
          <w:tcPr>
            <w:tcW w:w="120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0.0202</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20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Dec-44</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汽油</w:t>
            </w:r>
          </w:p>
        </w:tc>
        <w:tc>
          <w:tcPr>
            <w:tcW w:w="9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44.039</w:t>
            </w:r>
          </w:p>
        </w:tc>
        <w:tc>
          <w:tcPr>
            <w:tcW w:w="16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43.07</w:t>
            </w:r>
          </w:p>
        </w:tc>
        <w:tc>
          <w:tcPr>
            <w:tcW w:w="120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0.0189</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204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Dec-44</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设施/活动</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燃料品种</w:t>
            </w:r>
          </w:p>
        </w:tc>
        <w:tc>
          <w:tcPr>
            <w:tcW w:w="259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油耗量</w:t>
            </w:r>
          </w:p>
        </w:tc>
        <w:tc>
          <w:tcPr>
            <w:tcW w:w="3955"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排放系数</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排放量tCO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移动源燃烧</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丙烷</w:t>
            </w:r>
          </w:p>
        </w:tc>
        <w:tc>
          <w:tcPr>
            <w:tcW w:w="259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211.5</w:t>
            </w:r>
          </w:p>
        </w:tc>
        <w:tc>
          <w:tcPr>
            <w:tcW w:w="3955"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乙炔</w:t>
            </w:r>
          </w:p>
        </w:tc>
        <w:tc>
          <w:tcPr>
            <w:tcW w:w="259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3955"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3.384</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620" w:type="dxa"/>
            <w:gridSpan w:val="7"/>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化石燃料燃烧直接排放合计</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8</w:t>
            </w:r>
            <w:r>
              <w:rPr>
                <w:rFonts w:hint="eastAsia" w:ascii="宋体" w:hAnsi="宋体" w:eastAsia="宋体" w:cs="宋体"/>
                <w:color w:val="000000"/>
                <w:kern w:val="0"/>
                <w:sz w:val="24"/>
                <w:szCs w:val="24"/>
                <w:lang w:val="en-US" w:eastAsia="zh-CN"/>
              </w:rPr>
              <w:t>411.66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676" w:type="dxa"/>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工业过程直接排放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设施/活动那个</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二氧化碳</w:t>
            </w:r>
          </w:p>
        </w:tc>
        <w:tc>
          <w:tcPr>
            <w:tcW w:w="259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消耗量</w:t>
            </w:r>
          </w:p>
        </w:tc>
        <w:tc>
          <w:tcPr>
            <w:tcW w:w="3955"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纯度（%）</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排放量tCO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二氧化碳保护焊</w:t>
            </w:r>
          </w:p>
        </w:tc>
        <w:tc>
          <w:tcPr>
            <w:tcW w:w="69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二氧化碳</w:t>
            </w:r>
          </w:p>
        </w:tc>
        <w:tc>
          <w:tcPr>
            <w:tcW w:w="259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54.336</w:t>
            </w:r>
          </w:p>
        </w:tc>
        <w:tc>
          <w:tcPr>
            <w:tcW w:w="3955"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620" w:type="dxa"/>
            <w:gridSpan w:val="7"/>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工厂过程中直接排放</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620" w:type="dxa"/>
            <w:gridSpan w:val="7"/>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直接排放合计</w:t>
            </w:r>
          </w:p>
        </w:tc>
        <w:tc>
          <w:tcPr>
            <w:tcW w:w="10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8466</w:t>
            </w:r>
          </w:p>
        </w:tc>
      </w:tr>
    </w:tbl>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.3.2 间接排放量</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1205" w:firstLineChars="5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表 3-27 202</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年度外购电力间接排放</w:t>
      </w:r>
    </w:p>
    <w:tbl>
      <w:tblPr>
        <w:tblStyle w:val="8"/>
        <w:tblW w:w="8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2229"/>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6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外购电力消耗量</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排放因子</w:t>
            </w:r>
          </w:p>
        </w:tc>
        <w:tc>
          <w:tcPr>
            <w:tcW w:w="358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净购电力</w:t>
            </w:r>
            <w:r>
              <w:rPr>
                <w:rFonts w:hint="eastAsia" w:ascii="宋体" w:hAnsi="宋体" w:eastAsia="宋体" w:cs="宋体"/>
                <w:color w:val="000000"/>
                <w:kern w:val="0"/>
                <w:sz w:val="24"/>
                <w:szCs w:val="24"/>
                <w:lang w:val="en-US" w:eastAsia="zh-CN"/>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6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MWh</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tCO</w:t>
            </w:r>
            <w:r>
              <w:rPr>
                <w:rFonts w:hint="eastAsia" w:ascii="宋体" w:hAnsi="宋体" w:eastAsia="宋体" w:cs="宋体"/>
                <w:color w:val="000000"/>
                <w:kern w:val="0"/>
                <w:sz w:val="24"/>
                <w:szCs w:val="24"/>
                <w:vertAlign w:val="subscript"/>
              </w:rPr>
              <w:t>2</w:t>
            </w:r>
          </w:p>
        </w:tc>
        <w:tc>
          <w:tcPr>
            <w:tcW w:w="358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34427.571</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0.7035</w:t>
            </w:r>
          </w:p>
        </w:tc>
        <w:tc>
          <w:tcPr>
            <w:tcW w:w="358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24219.</w:t>
            </w:r>
            <w:r>
              <w:rPr>
                <w:rFonts w:hint="eastAsia" w:ascii="宋体" w:hAnsi="宋体" w:eastAsia="宋体" w:cs="宋体"/>
                <w:color w:val="000000"/>
                <w:kern w:val="0"/>
                <w:sz w:val="24"/>
                <w:szCs w:val="24"/>
                <w:lang w:val="en-US" w:eastAsia="zh-CN"/>
              </w:rPr>
              <w:t>80</w:t>
            </w:r>
          </w:p>
        </w:tc>
      </w:tr>
    </w:tbl>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1205" w:firstLineChars="5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表 3-28 202</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年度外购热力间接</w:t>
      </w:r>
    </w:p>
    <w:tbl>
      <w:tblPr>
        <w:tblStyle w:val="8"/>
        <w:tblW w:w="7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967"/>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32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外购</w:t>
            </w:r>
            <w:r>
              <w:rPr>
                <w:rFonts w:hint="eastAsia" w:ascii="宋体" w:hAnsi="宋体" w:eastAsia="宋体" w:cs="宋体"/>
                <w:color w:val="000000"/>
                <w:kern w:val="0"/>
                <w:sz w:val="24"/>
                <w:szCs w:val="24"/>
                <w:lang w:val="en-US" w:eastAsia="zh-CN"/>
              </w:rPr>
              <w:t>热力</w:t>
            </w:r>
            <w:r>
              <w:rPr>
                <w:rFonts w:hint="eastAsia" w:ascii="宋体" w:hAnsi="宋体" w:eastAsia="宋体" w:cs="宋体"/>
                <w:color w:val="000000"/>
                <w:kern w:val="0"/>
                <w:sz w:val="24"/>
                <w:szCs w:val="24"/>
              </w:rPr>
              <w:t>消耗量</w:t>
            </w:r>
          </w:p>
        </w:tc>
        <w:tc>
          <w:tcPr>
            <w:tcW w:w="19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排放因子</w:t>
            </w:r>
          </w:p>
        </w:tc>
        <w:tc>
          <w:tcPr>
            <w:tcW w:w="31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净购</w:t>
            </w:r>
            <w:r>
              <w:rPr>
                <w:rFonts w:hint="eastAsia" w:ascii="宋体" w:hAnsi="宋体" w:eastAsia="宋体" w:cs="宋体"/>
                <w:color w:val="000000"/>
                <w:kern w:val="0"/>
                <w:sz w:val="24"/>
                <w:szCs w:val="24"/>
                <w:lang w:val="en-US" w:eastAsia="zh-CN"/>
              </w:rPr>
              <w:t>热力排放量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232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GJ</w:t>
            </w:r>
          </w:p>
        </w:tc>
        <w:tc>
          <w:tcPr>
            <w:tcW w:w="19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tCO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/GJ</w:t>
            </w:r>
          </w:p>
        </w:tc>
        <w:tc>
          <w:tcPr>
            <w:tcW w:w="31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2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101791.57</w:t>
            </w:r>
          </w:p>
        </w:tc>
        <w:tc>
          <w:tcPr>
            <w:tcW w:w="196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0.11</w:t>
            </w:r>
          </w:p>
        </w:tc>
        <w:tc>
          <w:tcPr>
            <w:tcW w:w="31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11197.07</w:t>
            </w:r>
          </w:p>
        </w:tc>
      </w:tr>
    </w:tbl>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.3.3 排放量汇总</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1205" w:firstLineChars="5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表 3-29 2021 年度温室气</w:t>
      </w:r>
    </w:p>
    <w:tbl>
      <w:tblPr>
        <w:tblStyle w:val="8"/>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417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7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年度</w:t>
            </w:r>
          </w:p>
        </w:tc>
        <w:tc>
          <w:tcPr>
            <w:tcW w:w="26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年温室气体排放量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7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1.排放总量（tCO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e)</w:t>
            </w:r>
          </w:p>
        </w:tc>
        <w:tc>
          <w:tcPr>
            <w:tcW w:w="26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43882.87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7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1.1直接排放量（tCO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e)</w:t>
            </w:r>
          </w:p>
        </w:tc>
        <w:tc>
          <w:tcPr>
            <w:tcW w:w="26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00"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1.1.1化石燃料燃烧排放</w:t>
            </w:r>
          </w:p>
        </w:tc>
        <w:tc>
          <w:tcPr>
            <w:tcW w:w="41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固定资源燃烧排放量（tCO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e)</w:t>
            </w:r>
          </w:p>
        </w:tc>
        <w:tc>
          <w:tcPr>
            <w:tcW w:w="26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00" w:type="dxa"/>
            <w:vMerge w:val="continue"/>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p>
        </w:tc>
        <w:tc>
          <w:tcPr>
            <w:tcW w:w="41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移动源燃烧排放量（tCO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e)</w:t>
            </w:r>
          </w:p>
        </w:tc>
        <w:tc>
          <w:tcPr>
            <w:tcW w:w="26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6742.14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1.1.2工业</w:t>
            </w:r>
            <w:r>
              <w:rPr>
                <w:rFonts w:hint="eastAsia" w:ascii="宋体" w:hAnsi="宋体" w:eastAsia="宋体" w:cs="宋体"/>
                <w:color w:val="000000"/>
                <w:kern w:val="0"/>
                <w:sz w:val="24"/>
                <w:szCs w:val="24"/>
                <w:lang w:val="en-US" w:eastAsia="zh-CN"/>
              </w:rPr>
              <w:t>工程</w:t>
            </w:r>
            <w:r>
              <w:rPr>
                <w:rFonts w:hint="eastAsia" w:ascii="宋体" w:hAnsi="宋体" w:eastAsia="宋体" w:cs="宋体"/>
                <w:color w:val="000000"/>
                <w:kern w:val="0"/>
                <w:sz w:val="24"/>
                <w:szCs w:val="24"/>
              </w:rPr>
              <w:t>排放</w:t>
            </w:r>
          </w:p>
        </w:tc>
        <w:tc>
          <w:tcPr>
            <w:tcW w:w="41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工业过程排放量（tCO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e)</w:t>
            </w:r>
          </w:p>
        </w:tc>
        <w:tc>
          <w:tcPr>
            <w:tcW w:w="26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7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1.2间接</w:t>
            </w:r>
            <w:r>
              <w:rPr>
                <w:rFonts w:hint="eastAsia" w:ascii="宋体" w:hAnsi="宋体" w:eastAsia="宋体" w:cs="宋体"/>
                <w:color w:val="000000"/>
                <w:kern w:val="0"/>
                <w:sz w:val="24"/>
                <w:szCs w:val="24"/>
                <w:lang w:val="en-US" w:eastAsia="zh-CN"/>
              </w:rPr>
              <w:t>排放量</w:t>
            </w:r>
            <w:r>
              <w:rPr>
                <w:rFonts w:hint="eastAsia" w:ascii="宋体" w:hAnsi="宋体" w:eastAsia="宋体" w:cs="宋体"/>
                <w:color w:val="000000"/>
                <w:kern w:val="0"/>
                <w:sz w:val="24"/>
                <w:szCs w:val="24"/>
              </w:rPr>
              <w:t>（tCO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e)</w:t>
            </w:r>
          </w:p>
        </w:tc>
        <w:tc>
          <w:tcPr>
            <w:tcW w:w="26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35416.87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7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1净购入电力生产的排放量（tCO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e)</w:t>
            </w:r>
          </w:p>
        </w:tc>
        <w:tc>
          <w:tcPr>
            <w:tcW w:w="26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24,219.</w:t>
            </w:r>
            <w:r>
              <w:rPr>
                <w:rFonts w:hint="eastAsia" w:ascii="宋体" w:hAnsi="宋体" w:eastAsia="宋体" w:cs="宋体"/>
                <w:color w:val="000000"/>
                <w:kern w:val="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7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1.2.2净购入热力产的排放量（tCO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e)</w:t>
            </w:r>
          </w:p>
        </w:tc>
        <w:tc>
          <w:tcPr>
            <w:tcW w:w="26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11197.07</w:t>
            </w:r>
          </w:p>
        </w:tc>
      </w:tr>
    </w:tbl>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宋体" w:hAnsi="宋体" w:eastAsia="宋体" w:cs="宋体"/>
          <w:b/>
          <w:bCs/>
          <w:sz w:val="24"/>
          <w:szCs w:val="24"/>
        </w:rPr>
      </w:pPr>
      <w:bookmarkStart w:id="20" w:name="_Toc11358"/>
      <w:r>
        <w:rPr>
          <w:rFonts w:hint="eastAsia" w:ascii="宋体" w:hAnsi="宋体" w:eastAsia="宋体" w:cs="宋体"/>
          <w:b/>
          <w:bCs/>
          <w:sz w:val="24"/>
          <w:szCs w:val="24"/>
        </w:rPr>
        <w:t>4 温室气体计算说明</w:t>
      </w:r>
      <w:bookmarkEnd w:id="20"/>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21" w:name="_Toc29604"/>
      <w:r>
        <w:rPr>
          <w:rFonts w:hint="eastAsia" w:ascii="宋体" w:hAnsi="宋体" w:eastAsia="宋体" w:cs="宋体"/>
          <w:b/>
          <w:bCs/>
          <w:sz w:val="24"/>
          <w:szCs w:val="24"/>
        </w:rPr>
        <w:t>4.1 清单中就某些温室气体排放源排除的说明</w:t>
      </w:r>
      <w:bookmarkEnd w:id="21"/>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据 ISO 14064-1 (4.3.1)，那些对 GHG 排放或清除作用不明显，或对其量化在技术上不可行，或成本高而收效不明显的直接或间接的 GHG 源或汇可排除。对于在量化中所排除的具体 GHG 源或汇，组织应说明排除的理由。下表为受核查方温室气体排放源排除的说明。</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1205" w:firstLineChars="5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表 4-1 温室气体排放源排除说</w:t>
      </w:r>
    </w:p>
    <w:tbl>
      <w:tblPr>
        <w:tblStyle w:val="8"/>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648"/>
        <w:gridCol w:w="1928"/>
        <w:gridCol w:w="1829"/>
        <w:gridCol w:w="131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温室气体源</w:t>
            </w:r>
          </w:p>
        </w:tc>
        <w:tc>
          <w:tcPr>
            <w:tcW w:w="164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原材料进货（超有燃烧）</w:t>
            </w:r>
          </w:p>
        </w:tc>
        <w:tc>
          <w:tcPr>
            <w:tcW w:w="19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成品发货（柴油燃烧）</w:t>
            </w:r>
          </w:p>
        </w:tc>
        <w:tc>
          <w:tcPr>
            <w:tcW w:w="18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员工上下班用交通工具（汽油燃烧）</w:t>
            </w:r>
          </w:p>
        </w:tc>
        <w:tc>
          <w:tcPr>
            <w:tcW w:w="13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中央空调、柜式空调、柜机空调</w:t>
            </w:r>
          </w:p>
        </w:tc>
        <w:tc>
          <w:tcPr>
            <w:tcW w:w="18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外包制造/化石燃料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温室气体种类</w:t>
            </w:r>
          </w:p>
        </w:tc>
        <w:tc>
          <w:tcPr>
            <w:tcW w:w="164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c>
          <w:tcPr>
            <w:tcW w:w="19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c>
          <w:tcPr>
            <w:tcW w:w="18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c>
          <w:tcPr>
            <w:tcW w:w="13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HCFCs</w:t>
            </w:r>
          </w:p>
        </w:tc>
        <w:tc>
          <w:tcPr>
            <w:tcW w:w="18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w:t>
            </w:r>
            <w:r>
              <w:rPr>
                <w:rFonts w:hint="eastAsia" w:ascii="宋体" w:hAnsi="宋体" w:eastAsia="宋体" w:cs="宋体"/>
                <w:color w:val="000000"/>
                <w:kern w:val="0"/>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3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排除的理由</w:t>
            </w:r>
          </w:p>
        </w:tc>
        <w:tc>
          <w:tcPr>
            <w:tcW w:w="16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对其量化在技术上不可行</w:t>
            </w: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对其量化在技术上不可行</w:t>
            </w:r>
          </w:p>
        </w:tc>
        <w:tc>
          <w:tcPr>
            <w:tcW w:w="18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对其量化在技术上不可行</w:t>
            </w:r>
          </w:p>
        </w:tc>
        <w:tc>
          <w:tcPr>
            <w:tcW w:w="13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GHG排放或清除作用不明显</w:t>
            </w:r>
          </w:p>
        </w:tc>
        <w:tc>
          <w:tcPr>
            <w:tcW w:w="18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不但为本公司服务难以估算公司产品的消耗，在量化技术上不行</w:t>
            </w:r>
          </w:p>
        </w:tc>
      </w:tr>
    </w:tbl>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22" w:name="_Toc14834"/>
      <w:r>
        <w:rPr>
          <w:rFonts w:hint="eastAsia" w:ascii="宋体" w:hAnsi="宋体" w:eastAsia="宋体" w:cs="宋体"/>
          <w:b/>
          <w:bCs/>
          <w:sz w:val="24"/>
          <w:szCs w:val="24"/>
        </w:rPr>
        <w:t>4.2 质量保证和文件存档的核查</w:t>
      </w:r>
      <w:bookmarkEnd w:id="22"/>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通过查阅文件和记录以及访谈相关人员，核查组确认：</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（1）受核查方指定专门的人员进行温室气体排放核算和报告工作；</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（2）受核查方制定了能源消耗台账记录，台账记录与实际情况一致</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left="280" w:hanging="240" w:hangingChars="100"/>
        <w:jc w:val="left"/>
        <w:textAlignment w:val="auto"/>
        <w:rPr>
          <w:rFonts w:hint="eastAsia" w:ascii="宋体" w:hAnsi="宋体" w:eastAsia="宋体" w:cs="宋体"/>
          <w:sz w:val="24"/>
          <w:szCs w:val="24"/>
        </w:rPr>
      </w:pPr>
      <w:r>
        <w:rPr>
          <w:rFonts w:hint="eastAsia" w:ascii="宋体" w:hAnsi="宋体" w:eastAsia="宋体" w:cs="宋体"/>
          <w:sz w:val="24"/>
          <w:szCs w:val="24"/>
        </w:rPr>
        <w:t>（3）受核查方未建立完善的温室气体排放数据文件保存和归档管理制度；</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（4）受核查方未建立完善的温室气体排放报告内部审核制度。</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23" w:name="_Toc15508"/>
      <w:r>
        <w:rPr>
          <w:rFonts w:hint="eastAsia" w:ascii="宋体" w:hAnsi="宋体" w:eastAsia="宋体" w:cs="宋体"/>
          <w:b/>
          <w:bCs/>
          <w:sz w:val="24"/>
          <w:szCs w:val="24"/>
        </w:rPr>
        <w:t>4.3 数据不确定性分析</w:t>
      </w:r>
      <w:bookmarkEnd w:id="23"/>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4.3.1 不确定性来源分析</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本报告在温室气体排放量的量化过程中的不确定性来源主要有以下几个方面：</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1）涉及的活动数据获取方式或数据来源；</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2）涉及的排放因子的获取方式或数据来源；</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3）用于能源消耗数据计量的仪器设备的校正情况。</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4.3.2 不确定性分析过程及结果</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本报告采取以下方式对不确定性进行评价。</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2168" w:firstLineChars="9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表 4-2 不确定性评分标</w:t>
      </w:r>
    </w:p>
    <w:tbl>
      <w:tblPr>
        <w:tblStyle w:val="8"/>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828"/>
        <w:gridCol w:w="1572"/>
        <w:gridCol w:w="1828"/>
        <w:gridCol w:w="1472"/>
        <w:gridCol w:w="1059"/>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不确定性来源</w:t>
            </w:r>
          </w:p>
        </w:tc>
        <w:tc>
          <w:tcPr>
            <w:tcW w:w="8820" w:type="dxa"/>
            <w:gridSpan w:val="6"/>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73"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活动数据</w:t>
            </w:r>
          </w:p>
        </w:tc>
        <w:tc>
          <w:tcPr>
            <w:tcW w:w="34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X=6</w:t>
            </w:r>
          </w:p>
        </w:tc>
        <w:tc>
          <w:tcPr>
            <w:tcW w:w="33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w:t>
            </w:r>
          </w:p>
        </w:tc>
        <w:tc>
          <w:tcPr>
            <w:tcW w:w="2119"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34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自动连续的</w:t>
            </w:r>
          </w:p>
        </w:tc>
        <w:tc>
          <w:tcPr>
            <w:tcW w:w="33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定时度量</w:t>
            </w:r>
          </w:p>
        </w:tc>
        <w:tc>
          <w:tcPr>
            <w:tcW w:w="2119"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73"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排放因子</w:t>
            </w:r>
          </w:p>
        </w:tc>
        <w:tc>
          <w:tcPr>
            <w:tcW w:w="1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A=6</w:t>
            </w:r>
          </w:p>
        </w:tc>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A=5</w:t>
            </w:r>
          </w:p>
        </w:tc>
        <w:tc>
          <w:tcPr>
            <w:tcW w:w="1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C=4</w:t>
            </w:r>
          </w:p>
        </w:tc>
        <w:tc>
          <w:tcPr>
            <w:tcW w:w="147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D=3</w:t>
            </w:r>
          </w:p>
        </w:tc>
        <w:tc>
          <w:tcPr>
            <w:tcW w:w="10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E=2</w:t>
            </w:r>
          </w:p>
        </w:tc>
        <w:tc>
          <w:tcPr>
            <w:tcW w:w="10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1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计算或质感平衡</w:t>
            </w:r>
          </w:p>
        </w:tc>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同类设施讲演</w:t>
            </w:r>
          </w:p>
        </w:tc>
        <w:tc>
          <w:tcPr>
            <w:tcW w:w="182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生产商体格</w:t>
            </w:r>
          </w:p>
        </w:tc>
        <w:tc>
          <w:tcPr>
            <w:tcW w:w="147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当地因子</w:t>
            </w:r>
          </w:p>
        </w:tc>
        <w:tc>
          <w:tcPr>
            <w:tcW w:w="10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地域因子</w:t>
            </w:r>
          </w:p>
        </w:tc>
        <w:tc>
          <w:tcPr>
            <w:tcW w:w="10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73"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仪器校正</w:t>
            </w:r>
          </w:p>
        </w:tc>
        <w:tc>
          <w:tcPr>
            <w:tcW w:w="34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L=6</w:t>
            </w:r>
          </w:p>
        </w:tc>
        <w:tc>
          <w:tcPr>
            <w:tcW w:w="33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M=3</w:t>
            </w:r>
          </w:p>
        </w:tc>
        <w:tc>
          <w:tcPr>
            <w:tcW w:w="2119"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rPr>
            </w:pPr>
          </w:p>
        </w:tc>
        <w:tc>
          <w:tcPr>
            <w:tcW w:w="34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按规定执行结果符合要求</w:t>
            </w:r>
          </w:p>
        </w:tc>
        <w:tc>
          <w:tcPr>
            <w:tcW w:w="3300"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同规定比，结果不符合要求，没按照规定执行但数据是确认的</w:t>
            </w:r>
          </w:p>
        </w:tc>
        <w:tc>
          <w:tcPr>
            <w:tcW w:w="2119"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没按规定执行</w:t>
            </w:r>
          </w:p>
        </w:tc>
      </w:tr>
    </w:tbl>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4.3.3 未来减少不确定性分析的方法</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1）建立企业温室气体量化和报告的规章制度，包括组织方式、负责机构、工作流程等。</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2）建立企业主要温室气体排放源一览表，确定合适的温室气体排放量化方法，形成文件并存档。</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指定专门人员负责碳排放数据的收集和整理工作，按年度制定碳排放数据质量控制计划，计划中详细描述所有活动水平数据和排放因子的确定方式，包括数据来源、数据获取方式、监测设备详细信息、数据缺失处理方法等内容。数据管理人员应根据数据质量控制计划要求的监测方法、监测频率，记录、整理汇总监测数据并按时提交给碳核查负责部门。</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4）制定监测设备的定期校准检定计划，按照相关规程对所有监测设备定期进行校验、校准。若发现设备性能未达到相关要求，组织应及时采取必要的纠正措施。</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宋体" w:hAnsi="宋体" w:eastAsia="宋体" w:cs="宋体"/>
          <w:b/>
          <w:bCs/>
          <w:sz w:val="24"/>
          <w:szCs w:val="24"/>
        </w:rPr>
      </w:pPr>
      <w:bookmarkStart w:id="24" w:name="_Toc30268"/>
      <w:r>
        <w:rPr>
          <w:rFonts w:hint="eastAsia" w:ascii="宋体" w:hAnsi="宋体" w:eastAsia="宋体" w:cs="宋体"/>
          <w:b/>
          <w:bCs/>
          <w:sz w:val="24"/>
          <w:szCs w:val="24"/>
        </w:rPr>
        <w:t>5 基准年</w:t>
      </w:r>
      <w:bookmarkEnd w:id="24"/>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25" w:name="_Toc32261"/>
      <w:r>
        <w:rPr>
          <w:rFonts w:hint="eastAsia" w:ascii="宋体" w:hAnsi="宋体" w:eastAsia="宋体" w:cs="宋体"/>
          <w:b/>
          <w:bCs/>
          <w:sz w:val="24"/>
          <w:szCs w:val="24"/>
        </w:rPr>
        <w:t>5.1 基准年的设定</w:t>
      </w:r>
      <w:bookmarkEnd w:id="25"/>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设定基准年，并将后续年份的温室气体排放与基准年进行比较，评估温室气体控制的绩效。组织设定 2021 年为基准年，后续的温室气体管理将以 2021 年的数据作为对比。</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以 2021 年为基准年是因为该年度组织的主要设施权属基本划定清楚，生产稳定，数据可获得，该年度的温室气体盘查结果可于后续年份持续的进行比较和确认温室气体控制绩效。</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26" w:name="_Toc7191"/>
      <w:r>
        <w:rPr>
          <w:rFonts w:hint="eastAsia" w:ascii="宋体" w:hAnsi="宋体" w:eastAsia="宋体" w:cs="宋体"/>
          <w:b/>
          <w:bCs/>
          <w:sz w:val="24"/>
          <w:szCs w:val="24"/>
        </w:rPr>
        <w:t>5.2 基准年调整条件</w:t>
      </w:r>
      <w:bookmarkEnd w:id="26"/>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后续年份的温室气体盘查中发现基准年不再适合作为对比基准的时候，组织可以变更基准年或者对原基准年进行调整。调整基准年的条件如下：</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1）组织边界或报告边界的变化；</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2）计算方法学或排放因子的变化；</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3）基准年有一个或多个错误导致基准年数据产生实质的影响；</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但是组织设施层面的启停不应启动基准年重新计算程序。以上条件产生的变化使基准年清单数据差异大于 10%的时候，启动基准年重新计算，并得到新的基准年清单作为后续比较的基准。</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27" w:name="_Toc26254"/>
      <w:r>
        <w:rPr>
          <w:rFonts w:hint="eastAsia" w:ascii="宋体" w:hAnsi="宋体" w:eastAsia="宋体" w:cs="宋体"/>
          <w:b/>
          <w:bCs/>
          <w:sz w:val="24"/>
          <w:szCs w:val="24"/>
        </w:rPr>
        <w:t>5.3 与基准年的比较</w:t>
      </w:r>
      <w:bookmarkEnd w:id="27"/>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此次报告为初次报告，不涉及与基准年的比较。</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28" w:name="_Toc2649"/>
      <w:r>
        <w:rPr>
          <w:rFonts w:hint="eastAsia" w:ascii="宋体" w:hAnsi="宋体" w:eastAsia="宋体" w:cs="宋体"/>
          <w:b/>
          <w:bCs/>
          <w:sz w:val="24"/>
          <w:szCs w:val="24"/>
        </w:rPr>
        <w:t>5.4 相对于基准年设施层面的变化</w:t>
      </w:r>
      <w:bookmarkEnd w:id="28"/>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宋体" w:hAnsi="宋体" w:eastAsia="宋体" w:cs="宋体"/>
          <w:b/>
          <w:bCs/>
          <w:sz w:val="24"/>
          <w:szCs w:val="24"/>
        </w:rPr>
      </w:pPr>
      <w:bookmarkStart w:id="29" w:name="_Toc470"/>
      <w:r>
        <w:rPr>
          <w:rFonts w:hint="eastAsia" w:ascii="宋体" w:hAnsi="宋体" w:eastAsia="宋体" w:cs="宋体"/>
          <w:b/>
          <w:bCs/>
          <w:sz w:val="24"/>
          <w:szCs w:val="24"/>
        </w:rPr>
        <w:t>6 温室气体排放控制措施及绩效</w:t>
      </w:r>
      <w:bookmarkEnd w:id="29"/>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30" w:name="_Toc28019"/>
      <w:r>
        <w:rPr>
          <w:rFonts w:hint="eastAsia" w:ascii="宋体" w:hAnsi="宋体" w:eastAsia="宋体" w:cs="宋体"/>
          <w:b/>
          <w:bCs/>
          <w:sz w:val="24"/>
          <w:szCs w:val="24"/>
        </w:rPr>
        <w:t>6.1 直接行动</w:t>
      </w:r>
      <w:bookmarkEnd w:id="30"/>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1）固体废弃物</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对产生的固体废弃物进行分类收集处置，废旧电池收集后交由处置单位统一回收处置，废旧资源回收利用，减少环境危害。</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2）节能降耗</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强化全员节能降耗意识，让员工充分认识到节能降耗的意义所在，让节能降耗成为企业全员的自觉行动，培养员工养成节约用电的良好习惯。</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1"/>
        <w:rPr>
          <w:rFonts w:hint="eastAsia" w:ascii="宋体" w:hAnsi="宋体" w:eastAsia="宋体" w:cs="宋体"/>
          <w:b/>
          <w:bCs/>
          <w:sz w:val="24"/>
          <w:szCs w:val="24"/>
        </w:rPr>
      </w:pPr>
      <w:bookmarkStart w:id="31" w:name="_Toc1105"/>
      <w:r>
        <w:rPr>
          <w:rFonts w:hint="eastAsia" w:ascii="宋体" w:hAnsi="宋体" w:eastAsia="宋体" w:cs="宋体"/>
          <w:b/>
          <w:bCs/>
          <w:sz w:val="24"/>
          <w:szCs w:val="24"/>
        </w:rPr>
        <w:t>6.2 GHG 减排项目</w:t>
      </w:r>
      <w:bookmarkEnd w:id="31"/>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受核查方在 2021 年度没有 GHG 减排项目。</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宋体" w:hAnsi="宋体" w:eastAsia="宋体" w:cs="宋体"/>
          <w:b/>
          <w:bCs/>
          <w:sz w:val="24"/>
          <w:szCs w:val="24"/>
        </w:rPr>
      </w:pPr>
      <w:bookmarkStart w:id="32" w:name="_Toc709"/>
      <w:r>
        <w:rPr>
          <w:rFonts w:hint="eastAsia" w:ascii="宋体" w:hAnsi="宋体" w:eastAsia="宋体" w:cs="宋体"/>
          <w:b/>
          <w:bCs/>
          <w:sz w:val="24"/>
          <w:szCs w:val="24"/>
        </w:rPr>
        <w:t>7 报告发布信息</w:t>
      </w:r>
      <w:bookmarkEnd w:id="32"/>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本报告书按照《ISO14064-1：2018 温室气体 第 1 部分：组织层次上对温室气体排放和清除的量化与报告的规范及指南》进行编制。</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此报告书由安技环保部依据公司内部管理制度进行温室气体报告书的保管及管理工作。</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本报告获取方式：需求单位向安技环保部提出申请，须经由总经理批准同意，方可获取。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mYTljNTg4ZDYzNmE2ZjM1OGEzMzIxZGE2MTkyNjEifQ=="/>
  </w:docVars>
  <w:rsids>
    <w:rsidRoot w:val="00CF3E55"/>
    <w:rsid w:val="000341B2"/>
    <w:rsid w:val="00101667"/>
    <w:rsid w:val="0013091F"/>
    <w:rsid w:val="00167FCB"/>
    <w:rsid w:val="00193EC1"/>
    <w:rsid w:val="001C67C9"/>
    <w:rsid w:val="002A5E4D"/>
    <w:rsid w:val="0031368E"/>
    <w:rsid w:val="003620CD"/>
    <w:rsid w:val="00390643"/>
    <w:rsid w:val="003943B2"/>
    <w:rsid w:val="0039569E"/>
    <w:rsid w:val="00406A02"/>
    <w:rsid w:val="00411958"/>
    <w:rsid w:val="00417804"/>
    <w:rsid w:val="004D5DAC"/>
    <w:rsid w:val="005F3F35"/>
    <w:rsid w:val="006455AB"/>
    <w:rsid w:val="007C2B66"/>
    <w:rsid w:val="0081521C"/>
    <w:rsid w:val="00892ACE"/>
    <w:rsid w:val="008B0BFD"/>
    <w:rsid w:val="008D1FAF"/>
    <w:rsid w:val="00905EE7"/>
    <w:rsid w:val="00A043E1"/>
    <w:rsid w:val="00A32EC2"/>
    <w:rsid w:val="00B82B37"/>
    <w:rsid w:val="00CF1DE2"/>
    <w:rsid w:val="00CF3E55"/>
    <w:rsid w:val="00CF3EF1"/>
    <w:rsid w:val="00DF72EA"/>
    <w:rsid w:val="00E00B63"/>
    <w:rsid w:val="00E47201"/>
    <w:rsid w:val="00E944B8"/>
    <w:rsid w:val="00EA22AF"/>
    <w:rsid w:val="00F83678"/>
    <w:rsid w:val="00F93EBA"/>
    <w:rsid w:val="0EB126E9"/>
    <w:rsid w:val="36FA5084"/>
    <w:rsid w:val="3EA9158E"/>
    <w:rsid w:val="48894BB5"/>
    <w:rsid w:val="4F473E04"/>
    <w:rsid w:val="5EE9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3"/>
    <w:next w:val="3"/>
    <w:qFormat/>
    <w:uiPriority w:val="0"/>
    <w:pPr>
      <w:spacing w:before="260" w:beforeLines="0" w:after="260" w:afterLines="0"/>
      <w:outlineLvl w:val="2"/>
    </w:pPr>
    <w:rPr>
      <w:szCs w:val="24"/>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Defaul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toc 1"/>
    <w:basedOn w:val="1"/>
    <w:next w:val="1"/>
    <w:semiHidden/>
    <w:unhideWhenUsed/>
    <w:uiPriority w:val="39"/>
  </w:style>
  <w:style w:type="paragraph" w:styleId="7">
    <w:name w:val="toc 2"/>
    <w:basedOn w:val="1"/>
    <w:next w:val="1"/>
    <w:semiHidden/>
    <w:unhideWhenUsed/>
    <w:uiPriority w:val="39"/>
    <w:pPr>
      <w:ind w:left="420" w:left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qFormat/>
    <w:uiPriority w:val="99"/>
    <w:rPr>
      <w:sz w:val="18"/>
      <w:szCs w:val="18"/>
    </w:rPr>
  </w:style>
  <w:style w:type="character" w:customStyle="1" w:styleId="12">
    <w:name w:val="页脚 字符"/>
    <w:basedOn w:val="10"/>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2925</Words>
  <Characters>16678</Characters>
  <Lines>138</Lines>
  <Paragraphs>39</Paragraphs>
  <TotalTime>11</TotalTime>
  <ScaleCrop>false</ScaleCrop>
  <LinksUpToDate>false</LinksUpToDate>
  <CharactersWithSpaces>19564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2023-07-31T03:17:00Z</dcterms:created>
  <dc:creator>changqing su</dc:creator>
  <cp:lastModifiedBy>w.</cp:lastModifiedBy>
  <dcterms:modified xsi:type="dcterms:W3CDTF">2023-08-01T06:08:58Z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A2D0EF2B76074DDABEAE5D7E4ACEE12A_12</vt:lpwstr>
  </property>
</Properties>
</file>